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C637" w14:textId="77777777" w:rsidR="008E35AA" w:rsidRPr="00590B17" w:rsidRDefault="00590B17" w:rsidP="00590B17">
      <w:pPr>
        <w:jc w:val="right"/>
        <w:rPr>
          <w:rFonts w:asciiTheme="minorHAnsi" w:hAnsiTheme="minorHAnsi" w:cstheme="minorHAnsi"/>
          <w:b w:val="0"/>
        </w:rPr>
      </w:pPr>
      <w:r w:rsidRPr="00590B17">
        <w:rPr>
          <w:rFonts w:asciiTheme="minorHAnsi" w:hAnsiTheme="minorHAnsi" w:cstheme="minorHAnsi"/>
          <w:b w:val="0"/>
        </w:rPr>
        <w:t>Stewart Justman</w:t>
      </w:r>
    </w:p>
    <w:p w14:paraId="6970DB42" w14:textId="77777777" w:rsidR="00590B17" w:rsidRPr="00590B17" w:rsidRDefault="00590B17" w:rsidP="00590B17">
      <w:pPr>
        <w:jc w:val="right"/>
        <w:rPr>
          <w:rFonts w:asciiTheme="minorHAnsi" w:hAnsiTheme="minorHAnsi" w:cstheme="minorHAnsi"/>
          <w:b w:val="0"/>
        </w:rPr>
      </w:pPr>
      <w:r w:rsidRPr="00590B17">
        <w:rPr>
          <w:rFonts w:asciiTheme="minorHAnsi" w:hAnsiTheme="minorHAnsi" w:cstheme="minorHAnsi"/>
          <w:b w:val="0"/>
        </w:rPr>
        <w:t>Prof. Emeritus</w:t>
      </w:r>
    </w:p>
    <w:p w14:paraId="2998646B" w14:textId="77777777" w:rsidR="00590B17" w:rsidRPr="00590B17" w:rsidRDefault="00590B17" w:rsidP="00590B17">
      <w:pPr>
        <w:jc w:val="right"/>
        <w:rPr>
          <w:rFonts w:asciiTheme="minorHAnsi" w:hAnsiTheme="minorHAnsi" w:cstheme="minorHAnsi"/>
          <w:b w:val="0"/>
        </w:rPr>
      </w:pPr>
      <w:r w:rsidRPr="00590B17">
        <w:rPr>
          <w:rFonts w:asciiTheme="minorHAnsi" w:hAnsiTheme="minorHAnsi" w:cstheme="minorHAnsi"/>
          <w:b w:val="0"/>
        </w:rPr>
        <w:t>University of Montana</w:t>
      </w:r>
    </w:p>
    <w:p w14:paraId="565136DC" w14:textId="77777777" w:rsidR="00590B17" w:rsidRPr="00590B17" w:rsidRDefault="00590B17" w:rsidP="00590B17">
      <w:pPr>
        <w:jc w:val="right"/>
        <w:rPr>
          <w:rFonts w:asciiTheme="minorHAnsi" w:hAnsiTheme="minorHAnsi" w:cstheme="minorHAnsi"/>
          <w:b w:val="0"/>
        </w:rPr>
      </w:pPr>
      <w:r w:rsidRPr="00590B17">
        <w:rPr>
          <w:rFonts w:asciiTheme="minorHAnsi" w:hAnsiTheme="minorHAnsi" w:cstheme="minorHAnsi"/>
          <w:b w:val="0"/>
        </w:rPr>
        <w:t>Missoula, MT 59812</w:t>
      </w:r>
    </w:p>
    <w:p w14:paraId="04B27589" w14:textId="77777777" w:rsidR="00590B17" w:rsidRDefault="00590B17" w:rsidP="00590B17">
      <w:pPr>
        <w:jc w:val="right"/>
        <w:rPr>
          <w:rFonts w:asciiTheme="minorHAnsi" w:hAnsiTheme="minorHAnsi" w:cstheme="minorHAnsi"/>
          <w:b w:val="0"/>
        </w:rPr>
      </w:pPr>
      <w:hyperlink r:id="rId6" w:history="1">
        <w:r w:rsidRPr="00A01D05">
          <w:rPr>
            <w:rStyle w:val="Hyperlink"/>
            <w:rFonts w:asciiTheme="minorHAnsi" w:hAnsiTheme="minorHAnsi" w:cstheme="minorHAnsi"/>
            <w:b w:val="0"/>
          </w:rPr>
          <w:t>Stewart.justman@umontana.edu</w:t>
        </w:r>
      </w:hyperlink>
    </w:p>
    <w:p w14:paraId="4D53B38E" w14:textId="77777777" w:rsidR="00590B17" w:rsidRPr="00590B17" w:rsidRDefault="00590B17" w:rsidP="00590B17">
      <w:pPr>
        <w:jc w:val="right"/>
        <w:rPr>
          <w:rFonts w:asciiTheme="minorHAnsi" w:hAnsiTheme="minorHAnsi" w:cstheme="minorHAnsi"/>
          <w:b w:val="0"/>
        </w:rPr>
      </w:pPr>
    </w:p>
    <w:p w14:paraId="1F1C1D90" w14:textId="77777777" w:rsidR="0035496B" w:rsidRPr="00590B17" w:rsidRDefault="0035496B" w:rsidP="003C1B65">
      <w:pPr>
        <w:jc w:val="center"/>
        <w:rPr>
          <w:rFonts w:asciiTheme="minorHAnsi" w:hAnsiTheme="minorHAnsi" w:cstheme="minorHAnsi"/>
          <w:b w:val="0"/>
        </w:rPr>
      </w:pPr>
    </w:p>
    <w:p w14:paraId="14A6E206" w14:textId="77777777" w:rsidR="00590B17" w:rsidRDefault="00590B17" w:rsidP="00590B17">
      <w:pPr>
        <w:spacing w:line="480" w:lineRule="auto"/>
        <w:jc w:val="center"/>
        <w:rPr>
          <w:rFonts w:asciiTheme="minorHAnsi" w:hAnsiTheme="minorHAnsi" w:cstheme="minorHAnsi"/>
          <w:b w:val="0"/>
        </w:rPr>
      </w:pPr>
    </w:p>
    <w:p w14:paraId="6139C94F" w14:textId="77777777" w:rsidR="004F7EC1" w:rsidRDefault="004F7EC1" w:rsidP="00590B17">
      <w:pPr>
        <w:spacing w:line="480" w:lineRule="auto"/>
        <w:jc w:val="center"/>
        <w:rPr>
          <w:rFonts w:asciiTheme="minorHAnsi" w:hAnsiTheme="minorHAnsi" w:cstheme="minorHAnsi"/>
          <w:b w:val="0"/>
        </w:rPr>
      </w:pPr>
      <w:r>
        <w:rPr>
          <w:rFonts w:asciiTheme="minorHAnsi" w:hAnsiTheme="minorHAnsi" w:cstheme="minorHAnsi"/>
          <w:b w:val="0"/>
        </w:rPr>
        <w:t>“Always Believe the</w:t>
      </w:r>
      <w:r w:rsidR="00E2759D">
        <w:rPr>
          <w:rFonts w:asciiTheme="minorHAnsi" w:hAnsiTheme="minorHAnsi" w:cstheme="minorHAnsi"/>
          <w:b w:val="0"/>
        </w:rPr>
        <w:t xml:space="preserve"> Victim”</w:t>
      </w:r>
      <w:r w:rsidR="003C1B65">
        <w:rPr>
          <w:rFonts w:asciiTheme="minorHAnsi" w:hAnsiTheme="minorHAnsi" w:cstheme="minorHAnsi"/>
          <w:b w:val="0"/>
        </w:rPr>
        <w:t>?</w:t>
      </w:r>
    </w:p>
    <w:p w14:paraId="00ECC055" w14:textId="77777777" w:rsidR="006A0641" w:rsidRDefault="006A0641" w:rsidP="006A0641">
      <w:pPr>
        <w:rPr>
          <w:rFonts w:asciiTheme="minorHAnsi" w:hAnsiTheme="minorHAnsi" w:cstheme="minorHAnsi"/>
          <w:b w:val="0"/>
          <w:i/>
        </w:rPr>
      </w:pPr>
    </w:p>
    <w:p w14:paraId="159B2E2F" w14:textId="77777777" w:rsidR="002006C3" w:rsidRDefault="006A0641" w:rsidP="006A0641">
      <w:pPr>
        <w:rPr>
          <w:rFonts w:asciiTheme="minorHAnsi" w:hAnsiTheme="minorHAnsi" w:cstheme="minorHAnsi"/>
          <w:b w:val="0"/>
          <w:i/>
        </w:rPr>
      </w:pPr>
      <w:r>
        <w:rPr>
          <w:rFonts w:asciiTheme="minorHAnsi" w:hAnsiTheme="minorHAnsi" w:cstheme="minorHAnsi"/>
          <w:b w:val="0"/>
          <w:i/>
        </w:rPr>
        <w:t xml:space="preserve">Automatic </w:t>
      </w:r>
      <w:r w:rsidR="00A3652E">
        <w:rPr>
          <w:rFonts w:asciiTheme="minorHAnsi" w:hAnsiTheme="minorHAnsi" w:cstheme="minorHAnsi"/>
          <w:b w:val="0"/>
          <w:i/>
        </w:rPr>
        <w:t>credence</w:t>
      </w:r>
      <w:r>
        <w:rPr>
          <w:rFonts w:asciiTheme="minorHAnsi" w:hAnsiTheme="minorHAnsi" w:cstheme="minorHAnsi"/>
          <w:b w:val="0"/>
          <w:i/>
        </w:rPr>
        <w:t xml:space="preserve"> given to allegations of sexual assault may come back to harm the maker of the allegations.</w:t>
      </w:r>
    </w:p>
    <w:p w14:paraId="7D47887B" w14:textId="77777777" w:rsidR="006A0641" w:rsidRPr="006A0641" w:rsidRDefault="006A0641" w:rsidP="00590B17">
      <w:pPr>
        <w:spacing w:line="480" w:lineRule="auto"/>
        <w:rPr>
          <w:rFonts w:asciiTheme="minorHAnsi" w:hAnsiTheme="minorHAnsi" w:cstheme="minorHAnsi"/>
          <w:b w:val="0"/>
          <w:i/>
        </w:rPr>
      </w:pPr>
    </w:p>
    <w:p w14:paraId="3C4BBFFF" w14:textId="77777777" w:rsidR="005E5F05" w:rsidRPr="00707FE9" w:rsidRDefault="005E5F05" w:rsidP="004E7368">
      <w:pPr>
        <w:spacing w:line="480" w:lineRule="auto"/>
        <w:ind w:firstLine="720"/>
        <w:rPr>
          <w:rFonts w:asciiTheme="minorHAnsi" w:hAnsiTheme="minorHAnsi" w:cstheme="minorHAnsi"/>
          <w:b w:val="0"/>
        </w:rPr>
      </w:pPr>
      <w:r>
        <w:rPr>
          <w:rFonts w:asciiTheme="minorHAnsi" w:hAnsiTheme="minorHAnsi" w:cstheme="minorHAnsi"/>
          <w:b w:val="0"/>
        </w:rPr>
        <w:t xml:space="preserve">A few years ago the University of Montana, </w:t>
      </w:r>
      <w:r w:rsidR="00015B9D">
        <w:rPr>
          <w:rFonts w:asciiTheme="minorHAnsi" w:hAnsiTheme="minorHAnsi" w:cstheme="minorHAnsi"/>
          <w:b w:val="0"/>
        </w:rPr>
        <w:t>where</w:t>
      </w:r>
      <w:r>
        <w:rPr>
          <w:rFonts w:asciiTheme="minorHAnsi" w:hAnsiTheme="minorHAnsi" w:cstheme="minorHAnsi"/>
          <w:b w:val="0"/>
        </w:rPr>
        <w:t xml:space="preserve"> I was teaching, </w:t>
      </w:r>
      <w:r w:rsidR="002B30D0">
        <w:rPr>
          <w:rFonts w:asciiTheme="minorHAnsi" w:hAnsiTheme="minorHAnsi" w:cstheme="minorHAnsi"/>
          <w:b w:val="0"/>
        </w:rPr>
        <w:t>stood</w:t>
      </w:r>
      <w:r>
        <w:rPr>
          <w:rFonts w:asciiTheme="minorHAnsi" w:hAnsiTheme="minorHAnsi" w:cstheme="minorHAnsi"/>
          <w:b w:val="0"/>
        </w:rPr>
        <w:t xml:space="preserve"> at the epicenter of a national crisis of campus rape.  </w:t>
      </w:r>
      <w:r w:rsidR="005430A7">
        <w:rPr>
          <w:rFonts w:asciiTheme="minorHAnsi" w:hAnsiTheme="minorHAnsi" w:cstheme="minorHAnsi"/>
          <w:b w:val="0"/>
        </w:rPr>
        <w:t>Even as</w:t>
      </w:r>
      <w:r>
        <w:rPr>
          <w:rFonts w:asciiTheme="minorHAnsi" w:hAnsiTheme="minorHAnsi" w:cstheme="minorHAnsi"/>
          <w:b w:val="0"/>
        </w:rPr>
        <w:t xml:space="preserve"> the U. S. Department of Education directed </w:t>
      </w:r>
      <w:r w:rsidR="00E82490">
        <w:rPr>
          <w:rFonts w:asciiTheme="minorHAnsi" w:hAnsiTheme="minorHAnsi" w:cstheme="minorHAnsi"/>
          <w:b w:val="0"/>
        </w:rPr>
        <w:t>colleges and universities</w:t>
      </w:r>
      <w:r>
        <w:rPr>
          <w:rFonts w:asciiTheme="minorHAnsi" w:hAnsiTheme="minorHAnsi" w:cstheme="minorHAnsi"/>
          <w:b w:val="0"/>
        </w:rPr>
        <w:t xml:space="preserve"> to lower the </w:t>
      </w:r>
      <w:r w:rsidR="00916704">
        <w:rPr>
          <w:rFonts w:asciiTheme="minorHAnsi" w:hAnsiTheme="minorHAnsi" w:cstheme="minorHAnsi"/>
          <w:b w:val="0"/>
        </w:rPr>
        <w:t xml:space="preserve">level </w:t>
      </w:r>
      <w:r>
        <w:rPr>
          <w:rFonts w:asciiTheme="minorHAnsi" w:hAnsiTheme="minorHAnsi" w:cstheme="minorHAnsi"/>
          <w:b w:val="0"/>
        </w:rPr>
        <w:t xml:space="preserve">of evidence </w:t>
      </w:r>
      <w:r w:rsidR="004E7368">
        <w:rPr>
          <w:rFonts w:asciiTheme="minorHAnsi" w:hAnsiTheme="minorHAnsi" w:cstheme="minorHAnsi"/>
          <w:b w:val="0"/>
        </w:rPr>
        <w:t xml:space="preserve">necessary for conviction in </w:t>
      </w:r>
      <w:r>
        <w:rPr>
          <w:rFonts w:asciiTheme="minorHAnsi" w:hAnsiTheme="minorHAnsi" w:cstheme="minorHAnsi"/>
          <w:b w:val="0"/>
        </w:rPr>
        <w:t xml:space="preserve">sexual assault cases, </w:t>
      </w:r>
      <w:r w:rsidR="005430A7">
        <w:rPr>
          <w:rFonts w:asciiTheme="minorHAnsi" w:hAnsiTheme="minorHAnsi" w:cstheme="minorHAnsi"/>
          <w:b w:val="0"/>
        </w:rPr>
        <w:t>the Department of Justice</w:t>
      </w:r>
      <w:r>
        <w:rPr>
          <w:rFonts w:asciiTheme="minorHAnsi" w:hAnsiTheme="minorHAnsi" w:cstheme="minorHAnsi"/>
          <w:b w:val="0"/>
        </w:rPr>
        <w:t xml:space="preserve"> censured the lax investigation and prosecution of such cases at UM in particular, </w:t>
      </w:r>
      <w:r w:rsidR="005430A7">
        <w:rPr>
          <w:rFonts w:asciiTheme="minorHAnsi" w:hAnsiTheme="minorHAnsi" w:cstheme="minorHAnsi"/>
          <w:b w:val="0"/>
        </w:rPr>
        <w:t>in effect</w:t>
      </w:r>
      <w:r>
        <w:rPr>
          <w:rFonts w:asciiTheme="minorHAnsi" w:hAnsiTheme="minorHAnsi" w:cstheme="minorHAnsi"/>
          <w:b w:val="0"/>
        </w:rPr>
        <w:t xml:space="preserve"> making UM an example to the nation.  But not only was UM under the eyes of federal monitors.  </w:t>
      </w:r>
      <w:r w:rsidR="005430A7">
        <w:rPr>
          <w:rFonts w:asciiTheme="minorHAnsi" w:hAnsiTheme="minorHAnsi" w:cstheme="minorHAnsi"/>
          <w:b w:val="0"/>
        </w:rPr>
        <w:t>DOJ</w:t>
      </w:r>
      <w:r>
        <w:rPr>
          <w:rFonts w:asciiTheme="minorHAnsi" w:hAnsiTheme="minorHAnsi" w:cstheme="minorHAnsi"/>
          <w:b w:val="0"/>
        </w:rPr>
        <w:t xml:space="preserve"> </w:t>
      </w:r>
      <w:r w:rsidR="005430A7">
        <w:rPr>
          <w:rFonts w:asciiTheme="minorHAnsi" w:hAnsiTheme="minorHAnsi" w:cstheme="minorHAnsi"/>
          <w:b w:val="0"/>
        </w:rPr>
        <w:t>made it known</w:t>
      </w:r>
      <w:r>
        <w:rPr>
          <w:rFonts w:asciiTheme="minorHAnsi" w:hAnsiTheme="minorHAnsi" w:cstheme="minorHAnsi"/>
          <w:b w:val="0"/>
        </w:rPr>
        <w:t xml:space="preserve"> that it would also be looking closely into the handling of allegations of </w:t>
      </w:r>
      <w:r w:rsidR="005430A7">
        <w:rPr>
          <w:rFonts w:asciiTheme="minorHAnsi" w:hAnsiTheme="minorHAnsi" w:cstheme="minorHAnsi"/>
          <w:b w:val="0"/>
        </w:rPr>
        <w:t>rape</w:t>
      </w:r>
      <w:r>
        <w:rPr>
          <w:rFonts w:asciiTheme="minorHAnsi" w:hAnsiTheme="minorHAnsi" w:cstheme="minorHAnsi"/>
          <w:b w:val="0"/>
        </w:rPr>
        <w:t xml:space="preserve"> in the city of Missoula, </w:t>
      </w:r>
      <w:r w:rsidR="00B42DEF">
        <w:rPr>
          <w:rFonts w:asciiTheme="minorHAnsi" w:hAnsiTheme="minorHAnsi" w:cstheme="minorHAnsi"/>
          <w:b w:val="0"/>
        </w:rPr>
        <w:t>of which UM is part</w:t>
      </w:r>
      <w:r>
        <w:rPr>
          <w:rFonts w:asciiTheme="minorHAnsi" w:hAnsiTheme="minorHAnsi" w:cstheme="minorHAnsi"/>
          <w:b w:val="0"/>
        </w:rPr>
        <w:t xml:space="preserve">. </w:t>
      </w:r>
    </w:p>
    <w:p w14:paraId="41116BAF" w14:textId="77777777" w:rsidR="003B60DA" w:rsidRPr="00ED371D" w:rsidRDefault="003B60DA" w:rsidP="003B60DA">
      <w:pPr>
        <w:spacing w:line="480" w:lineRule="auto"/>
        <w:ind w:firstLine="720"/>
        <w:rPr>
          <w:rFonts w:asciiTheme="minorHAnsi" w:hAnsiTheme="minorHAnsi" w:cstheme="minorHAnsi"/>
        </w:rPr>
      </w:pPr>
      <w:r w:rsidRPr="00C25251">
        <w:rPr>
          <w:rFonts w:asciiTheme="minorHAnsi" w:hAnsiTheme="minorHAnsi" w:cstheme="minorHAnsi"/>
          <w:b w:val="0"/>
        </w:rPr>
        <w:t xml:space="preserve">In this charged atmosphere, and with the national press looking on as well, two members of the UM football team—one of them none other than the quarterback and team captain—were charged with sexual intercourse without consent.  The respective incidents took place two years apart.  In the first case, where the facts were undisputed, </w:t>
      </w:r>
      <w:r>
        <w:rPr>
          <w:rFonts w:asciiTheme="minorHAnsi" w:hAnsiTheme="minorHAnsi" w:cstheme="minorHAnsi"/>
          <w:b w:val="0"/>
        </w:rPr>
        <w:t xml:space="preserve">a woman was raped while asleep; the perpetrator pleaded guilty and </w:t>
      </w:r>
      <w:r w:rsidR="00CC12C6">
        <w:rPr>
          <w:rFonts w:asciiTheme="minorHAnsi" w:hAnsiTheme="minorHAnsi" w:cstheme="minorHAnsi"/>
          <w:b w:val="0"/>
        </w:rPr>
        <w:t xml:space="preserve">in 2013 </w:t>
      </w:r>
      <w:r>
        <w:rPr>
          <w:rFonts w:asciiTheme="minorHAnsi" w:hAnsiTheme="minorHAnsi" w:cstheme="minorHAnsi"/>
          <w:b w:val="0"/>
        </w:rPr>
        <w:t xml:space="preserve">was </w:t>
      </w:r>
      <w:r w:rsidR="00CC12C6">
        <w:rPr>
          <w:rFonts w:asciiTheme="minorHAnsi" w:hAnsiTheme="minorHAnsi" w:cstheme="minorHAnsi"/>
          <w:b w:val="0"/>
        </w:rPr>
        <w:t xml:space="preserve">sentenced to thirty years in prison, with twenty suspended.  </w:t>
      </w:r>
      <w:r w:rsidRPr="00C25251">
        <w:rPr>
          <w:rFonts w:asciiTheme="minorHAnsi" w:hAnsiTheme="minorHAnsi" w:cstheme="minorHAnsi"/>
          <w:b w:val="0"/>
        </w:rPr>
        <w:t xml:space="preserve">Here I address the second case, in which a woman claimed </w:t>
      </w:r>
      <w:r w:rsidR="00CD5B13">
        <w:rPr>
          <w:rFonts w:asciiTheme="minorHAnsi" w:hAnsiTheme="minorHAnsi" w:cstheme="minorHAnsi"/>
          <w:b w:val="0"/>
        </w:rPr>
        <w:t xml:space="preserve">that </w:t>
      </w:r>
      <w:r w:rsidR="00345EAA">
        <w:rPr>
          <w:rFonts w:asciiTheme="minorHAnsi" w:hAnsiTheme="minorHAnsi" w:cstheme="minorHAnsi"/>
          <w:b w:val="0"/>
        </w:rPr>
        <w:t xml:space="preserve">quarterback Jordan Johnson raped her after </w:t>
      </w:r>
      <w:r w:rsidRPr="00C25251">
        <w:rPr>
          <w:rFonts w:asciiTheme="minorHAnsi" w:hAnsiTheme="minorHAnsi" w:cstheme="minorHAnsi"/>
          <w:b w:val="0"/>
        </w:rPr>
        <w:t xml:space="preserve">she </w:t>
      </w:r>
      <w:r>
        <w:rPr>
          <w:rFonts w:asciiTheme="minorHAnsi" w:hAnsiTheme="minorHAnsi" w:cstheme="minorHAnsi"/>
          <w:b w:val="0"/>
        </w:rPr>
        <w:t>refused</w:t>
      </w:r>
      <w:r w:rsidRPr="00C25251">
        <w:rPr>
          <w:rFonts w:asciiTheme="minorHAnsi" w:hAnsiTheme="minorHAnsi" w:cstheme="minorHAnsi"/>
          <w:b w:val="0"/>
        </w:rPr>
        <w:t xml:space="preserve"> </w:t>
      </w:r>
      <w:r>
        <w:rPr>
          <w:rFonts w:asciiTheme="minorHAnsi" w:hAnsiTheme="minorHAnsi" w:cstheme="minorHAnsi"/>
          <w:b w:val="0"/>
        </w:rPr>
        <w:t>to engage in</w:t>
      </w:r>
      <w:r w:rsidRPr="00C25251">
        <w:rPr>
          <w:rFonts w:asciiTheme="minorHAnsi" w:hAnsiTheme="minorHAnsi" w:cstheme="minorHAnsi"/>
          <w:b w:val="0"/>
        </w:rPr>
        <w:t xml:space="preserve"> intercourse following </w:t>
      </w:r>
      <w:r w:rsidR="00673F73">
        <w:rPr>
          <w:rFonts w:asciiTheme="minorHAnsi" w:hAnsiTheme="minorHAnsi" w:cstheme="minorHAnsi"/>
          <w:b w:val="0"/>
        </w:rPr>
        <w:lastRenderedPageBreak/>
        <w:t>mutual</w:t>
      </w:r>
      <w:r w:rsidRPr="00C25251">
        <w:rPr>
          <w:rFonts w:asciiTheme="minorHAnsi" w:hAnsiTheme="minorHAnsi" w:cstheme="minorHAnsi"/>
          <w:b w:val="0"/>
        </w:rPr>
        <w:t xml:space="preserve"> petting, while </w:t>
      </w:r>
      <w:r w:rsidR="00345EAA">
        <w:rPr>
          <w:rFonts w:asciiTheme="minorHAnsi" w:hAnsiTheme="minorHAnsi" w:cstheme="minorHAnsi"/>
          <w:b w:val="0"/>
        </w:rPr>
        <w:t xml:space="preserve">he </w:t>
      </w:r>
      <w:r w:rsidRPr="00C25251">
        <w:rPr>
          <w:rFonts w:asciiTheme="minorHAnsi" w:hAnsiTheme="minorHAnsi" w:cstheme="minorHAnsi"/>
          <w:b w:val="0"/>
        </w:rPr>
        <w:t xml:space="preserve">maintained that she never refused and he would have stopped if she had.  </w:t>
      </w:r>
      <w:r>
        <w:rPr>
          <w:rFonts w:asciiTheme="minorHAnsi" w:hAnsiTheme="minorHAnsi" w:cstheme="minorHAnsi"/>
          <w:b w:val="0"/>
        </w:rPr>
        <w:t>Johnson was acquitted by a jury</w:t>
      </w:r>
      <w:r w:rsidR="00CD5B13">
        <w:rPr>
          <w:rFonts w:asciiTheme="minorHAnsi" w:hAnsiTheme="minorHAnsi" w:cstheme="minorHAnsi"/>
          <w:b w:val="0"/>
        </w:rPr>
        <w:t>, also</w:t>
      </w:r>
      <w:r>
        <w:rPr>
          <w:rFonts w:asciiTheme="minorHAnsi" w:hAnsiTheme="minorHAnsi" w:cstheme="minorHAnsi"/>
          <w:b w:val="0"/>
        </w:rPr>
        <w:t xml:space="preserve"> in 2013. </w:t>
      </w:r>
      <w:r w:rsidRPr="00C25251">
        <w:rPr>
          <w:rFonts w:asciiTheme="minorHAnsi" w:hAnsiTheme="minorHAnsi" w:cstheme="minorHAnsi"/>
          <w:b w:val="0"/>
        </w:rPr>
        <w:t xml:space="preserve"> Both sets of events </w:t>
      </w:r>
      <w:r w:rsidR="00CC12C6">
        <w:rPr>
          <w:rFonts w:asciiTheme="minorHAnsi" w:hAnsiTheme="minorHAnsi" w:cstheme="minorHAnsi"/>
          <w:b w:val="0"/>
        </w:rPr>
        <w:t xml:space="preserve">are </w:t>
      </w:r>
      <w:r w:rsidRPr="00C25251">
        <w:rPr>
          <w:rFonts w:asciiTheme="minorHAnsi" w:hAnsiTheme="minorHAnsi" w:cstheme="minorHAnsi"/>
          <w:b w:val="0"/>
        </w:rPr>
        <w:t xml:space="preserve">chronicled in painful detail by Jon Krakauer in </w:t>
      </w:r>
      <w:r w:rsidRPr="00C25251">
        <w:rPr>
          <w:rFonts w:asciiTheme="minorHAnsi" w:hAnsiTheme="minorHAnsi" w:cstheme="minorHAnsi"/>
          <w:b w:val="0"/>
          <w:i/>
        </w:rPr>
        <w:t xml:space="preserve">Missoula: Rape and the Justice System in a College Town </w:t>
      </w:r>
      <w:r w:rsidRPr="00C25251">
        <w:rPr>
          <w:rFonts w:asciiTheme="minorHAnsi" w:hAnsiTheme="minorHAnsi" w:cstheme="minorHAnsi"/>
          <w:b w:val="0"/>
        </w:rPr>
        <w:t xml:space="preserve">(2015), a </w:t>
      </w:r>
      <w:r w:rsidR="008D26DF">
        <w:rPr>
          <w:rFonts w:asciiTheme="minorHAnsi" w:hAnsiTheme="minorHAnsi" w:cstheme="minorHAnsi"/>
          <w:b w:val="0"/>
        </w:rPr>
        <w:t>work</w:t>
      </w:r>
      <w:r w:rsidRPr="00C25251">
        <w:rPr>
          <w:rFonts w:asciiTheme="minorHAnsi" w:hAnsiTheme="minorHAnsi" w:cstheme="minorHAnsi"/>
          <w:b w:val="0"/>
        </w:rPr>
        <w:t xml:space="preserve"> fired by the</w:t>
      </w:r>
      <w:r>
        <w:rPr>
          <w:rFonts w:asciiTheme="minorHAnsi" w:hAnsiTheme="minorHAnsi" w:cstheme="minorHAnsi"/>
          <w:b w:val="0"/>
        </w:rPr>
        <w:t xml:space="preserve"> belief that the authorities in Missoula and elsewhere, and the legal system in general, all too often serve the perpetrators instead of the victims of rape.  By analogy with the rule change ordered by DOE to make convictions more likely in cases heard in campus tribunals, Krakauer pleads for policies that will aid the prosecution of sexual assault in the courts and guarantee the victims of such crimes the sympathy of the police in particular.  Though he acknowledges the rights of the accused and knows that demanding an end to the presumption of innocence in rape cases would provoke outrage, Krakauer clearly leans to the view that the presumption of innocence has done great injury to victims of rape and constitutes, therefore, an outrage in its own right.    </w:t>
      </w:r>
    </w:p>
    <w:p w14:paraId="545CEE71" w14:textId="77777777" w:rsidR="00CE6BA4" w:rsidRPr="004074AB" w:rsidRDefault="00CE6BA4" w:rsidP="00CE6BA4">
      <w:pPr>
        <w:spacing w:line="480" w:lineRule="auto"/>
        <w:ind w:firstLine="720"/>
        <w:rPr>
          <w:rFonts w:asciiTheme="minorHAnsi" w:hAnsiTheme="minorHAnsi" w:cstheme="minorHAnsi"/>
        </w:rPr>
      </w:pPr>
      <w:r>
        <w:rPr>
          <w:rFonts w:asciiTheme="minorHAnsi" w:hAnsiTheme="minorHAnsi" w:cstheme="minorHAnsi"/>
          <w:b w:val="0"/>
        </w:rPr>
        <w:t xml:space="preserve">It’s a measure of Krakauer’s antipathy to what was once called the liberal tradition that he repeatedly endorses rules requiring the police not just to handle allegations of sexual assault with due sensitivity, but </w:t>
      </w:r>
      <w:r w:rsidRPr="00FE6ED8">
        <w:rPr>
          <w:rFonts w:asciiTheme="minorHAnsi" w:hAnsiTheme="minorHAnsi" w:cstheme="minorHAnsi"/>
          <w:b w:val="0"/>
        </w:rPr>
        <w:t>to believe</w:t>
      </w:r>
      <w:r>
        <w:rPr>
          <w:rFonts w:asciiTheme="minorHAnsi" w:hAnsiTheme="minorHAnsi" w:cstheme="minorHAnsi"/>
          <w:b w:val="0"/>
        </w:rPr>
        <w:t xml:space="preserve"> every allegation as soon as they learn of it.  He cites with </w:t>
      </w:r>
      <w:r w:rsidRPr="00CE6BA4">
        <w:rPr>
          <w:rFonts w:asciiTheme="minorHAnsi" w:hAnsiTheme="minorHAnsi" w:cstheme="minorHAnsi"/>
          <w:b w:val="0"/>
        </w:rPr>
        <w:t xml:space="preserve">approval, for example, a new policy of the Missoula police mandating “that investigators believe everybody who comes through their doors complaining of a sexual assault.”  Can belief be </w:t>
      </w:r>
      <w:r w:rsidR="00950701">
        <w:rPr>
          <w:rFonts w:asciiTheme="minorHAnsi" w:hAnsiTheme="minorHAnsi" w:cstheme="minorHAnsi"/>
          <w:b w:val="0"/>
        </w:rPr>
        <w:t>prescribed</w:t>
      </w:r>
      <w:r w:rsidRPr="00CE6BA4">
        <w:rPr>
          <w:rFonts w:asciiTheme="minorHAnsi" w:hAnsiTheme="minorHAnsi" w:cstheme="minorHAnsi"/>
          <w:b w:val="0"/>
        </w:rPr>
        <w:t xml:space="preserve">?  Locke and Jefferson thought not.  Locke’s </w:t>
      </w:r>
      <w:r w:rsidRPr="00CE6BA4">
        <w:rPr>
          <w:rFonts w:asciiTheme="minorHAnsi" w:hAnsiTheme="minorHAnsi" w:cstheme="minorHAnsi"/>
          <w:b w:val="0"/>
          <w:i/>
        </w:rPr>
        <w:t xml:space="preserve">Letter Concerning </w:t>
      </w:r>
      <w:r>
        <w:rPr>
          <w:rFonts w:asciiTheme="minorHAnsi" w:hAnsiTheme="minorHAnsi" w:cstheme="minorHAnsi"/>
          <w:b w:val="0"/>
          <w:i/>
        </w:rPr>
        <w:t>Toleration</w:t>
      </w:r>
      <w:r>
        <w:rPr>
          <w:rFonts w:asciiTheme="minorHAnsi" w:hAnsiTheme="minorHAnsi" w:cstheme="minorHAnsi"/>
          <w:b w:val="0"/>
        </w:rPr>
        <w:t xml:space="preserve"> (1689), which underwrites the separation of church and state in our nation, constitutes an extended argument against the proposition that a human being can be compelled to believe a religious tenet or </w:t>
      </w:r>
      <w:r w:rsidR="00863D8F">
        <w:rPr>
          <w:rFonts w:asciiTheme="minorHAnsi" w:hAnsiTheme="minorHAnsi" w:cstheme="minorHAnsi"/>
          <w:b w:val="0"/>
        </w:rPr>
        <w:t>indeed</w:t>
      </w:r>
      <w:r>
        <w:rPr>
          <w:rFonts w:asciiTheme="minorHAnsi" w:hAnsiTheme="minorHAnsi" w:cstheme="minorHAnsi"/>
          <w:b w:val="0"/>
        </w:rPr>
        <w:t xml:space="preserve"> anything at all.  “Such is the nature of the understanding that it cannot be compelled to the belief of anything by outward force.”  It was under Locke’s influence that </w:t>
      </w:r>
      <w:r>
        <w:rPr>
          <w:rFonts w:asciiTheme="minorHAnsi" w:hAnsiTheme="minorHAnsi" w:cstheme="minorHAnsi"/>
          <w:b w:val="0"/>
        </w:rPr>
        <w:lastRenderedPageBreak/>
        <w:t xml:space="preserve">Jefferson began the “Bill for Establishing Religious Freedom” (1779) by stipulating that “the opinions and beliefs of men depend not on their own will, but follow involuntarily the evidence proposed to their minds.”  Krakauer turns Jefferson on his head, making belief voluntary and </w:t>
      </w:r>
      <w:r w:rsidR="00EE7BC5">
        <w:rPr>
          <w:rFonts w:asciiTheme="minorHAnsi" w:hAnsiTheme="minorHAnsi" w:cstheme="minorHAnsi"/>
          <w:b w:val="0"/>
        </w:rPr>
        <w:t xml:space="preserve">enforceable and </w:t>
      </w:r>
      <w:r>
        <w:rPr>
          <w:rFonts w:asciiTheme="minorHAnsi" w:hAnsiTheme="minorHAnsi" w:cstheme="minorHAnsi"/>
          <w:b w:val="0"/>
        </w:rPr>
        <w:t xml:space="preserve">demanding that the police </w:t>
      </w:r>
      <w:r w:rsidR="001C73C9">
        <w:rPr>
          <w:rFonts w:asciiTheme="minorHAnsi" w:hAnsiTheme="minorHAnsi" w:cstheme="minorHAnsi"/>
          <w:b w:val="0"/>
        </w:rPr>
        <w:t>credit</w:t>
      </w:r>
      <w:r>
        <w:rPr>
          <w:rFonts w:asciiTheme="minorHAnsi" w:hAnsiTheme="minorHAnsi" w:cstheme="minorHAnsi"/>
          <w:b w:val="0"/>
        </w:rPr>
        <w:t xml:space="preserve"> accusations of rape before investigating the evidence.  </w:t>
      </w:r>
      <w:r w:rsidR="008D26DF">
        <w:rPr>
          <w:rFonts w:asciiTheme="minorHAnsi" w:hAnsiTheme="minorHAnsi" w:cstheme="minorHAnsi"/>
          <w:b w:val="0"/>
        </w:rPr>
        <w:t>Not once in his tireless polemic</w:t>
      </w:r>
      <w:r>
        <w:rPr>
          <w:rFonts w:asciiTheme="minorHAnsi" w:hAnsiTheme="minorHAnsi" w:cstheme="minorHAnsi"/>
          <w:b w:val="0"/>
        </w:rPr>
        <w:t xml:space="preserve"> does he concede that any problem, philosophical or otherwise, attaches to the policy of requiring a fellow citizen in an open society to believe something.   </w:t>
      </w:r>
    </w:p>
    <w:p w14:paraId="0C34450A" w14:textId="77777777" w:rsidR="00A376D8" w:rsidRPr="00241860" w:rsidRDefault="00A376D8" w:rsidP="00241860">
      <w:pPr>
        <w:spacing w:line="480" w:lineRule="auto"/>
        <w:ind w:firstLine="720"/>
        <w:rPr>
          <w:rFonts w:asciiTheme="minorHAnsi" w:hAnsiTheme="minorHAnsi" w:cstheme="minorHAnsi"/>
          <w:b w:val="0"/>
        </w:rPr>
      </w:pPr>
      <w:r>
        <w:rPr>
          <w:rFonts w:asciiTheme="minorHAnsi" w:hAnsiTheme="minorHAnsi" w:cstheme="minorHAnsi"/>
          <w:b w:val="0"/>
        </w:rPr>
        <w:t xml:space="preserve">As a practical matter, the belief rule </w:t>
      </w:r>
      <w:r w:rsidR="005100C5">
        <w:rPr>
          <w:rFonts w:asciiTheme="minorHAnsi" w:hAnsiTheme="minorHAnsi" w:cstheme="minorHAnsi"/>
          <w:b w:val="0"/>
        </w:rPr>
        <w:t>endorsed</w:t>
      </w:r>
      <w:r w:rsidR="00AD3F32">
        <w:rPr>
          <w:rFonts w:asciiTheme="minorHAnsi" w:hAnsiTheme="minorHAnsi" w:cstheme="minorHAnsi"/>
          <w:b w:val="0"/>
        </w:rPr>
        <w:t xml:space="preserve"> by Krakauer </w:t>
      </w:r>
      <w:r w:rsidR="009034B1">
        <w:rPr>
          <w:rFonts w:asciiTheme="minorHAnsi" w:hAnsiTheme="minorHAnsi" w:cstheme="minorHAnsi"/>
          <w:b w:val="0"/>
        </w:rPr>
        <w:t>will</w:t>
      </w:r>
      <w:r>
        <w:rPr>
          <w:rFonts w:asciiTheme="minorHAnsi" w:hAnsiTheme="minorHAnsi" w:cstheme="minorHAnsi"/>
          <w:b w:val="0"/>
        </w:rPr>
        <w:t xml:space="preserve"> </w:t>
      </w:r>
      <w:r w:rsidR="00F27DF9">
        <w:rPr>
          <w:rFonts w:asciiTheme="minorHAnsi" w:hAnsiTheme="minorHAnsi" w:cstheme="minorHAnsi"/>
          <w:b w:val="0"/>
        </w:rPr>
        <w:t xml:space="preserve">tend to </w:t>
      </w:r>
      <w:r>
        <w:rPr>
          <w:rFonts w:asciiTheme="minorHAnsi" w:hAnsiTheme="minorHAnsi" w:cstheme="minorHAnsi"/>
          <w:b w:val="0"/>
        </w:rPr>
        <w:t xml:space="preserve">inhibit any line of inquiry that </w:t>
      </w:r>
      <w:r w:rsidR="009034B1">
        <w:rPr>
          <w:rFonts w:asciiTheme="minorHAnsi" w:hAnsiTheme="minorHAnsi" w:cstheme="minorHAnsi"/>
          <w:b w:val="0"/>
        </w:rPr>
        <w:t>could</w:t>
      </w:r>
      <w:r>
        <w:rPr>
          <w:rFonts w:asciiTheme="minorHAnsi" w:hAnsiTheme="minorHAnsi" w:cstheme="minorHAnsi"/>
          <w:b w:val="0"/>
        </w:rPr>
        <w:t xml:space="preserve"> </w:t>
      </w:r>
      <w:r w:rsidR="00CF6BA0">
        <w:rPr>
          <w:rFonts w:asciiTheme="minorHAnsi" w:hAnsiTheme="minorHAnsi" w:cstheme="minorHAnsi"/>
          <w:b w:val="0"/>
        </w:rPr>
        <w:t>indicate doubt</w:t>
      </w:r>
      <w:r w:rsidR="00AD3F32">
        <w:rPr>
          <w:rFonts w:asciiTheme="minorHAnsi" w:hAnsiTheme="minorHAnsi" w:cstheme="minorHAnsi"/>
          <w:b w:val="0"/>
        </w:rPr>
        <w:t xml:space="preserve"> of </w:t>
      </w:r>
      <w:r w:rsidR="005F59AA">
        <w:rPr>
          <w:rFonts w:asciiTheme="minorHAnsi" w:hAnsiTheme="minorHAnsi" w:cstheme="minorHAnsi"/>
          <w:b w:val="0"/>
        </w:rPr>
        <w:t xml:space="preserve">a </w:t>
      </w:r>
      <w:r w:rsidR="00950701">
        <w:rPr>
          <w:rFonts w:asciiTheme="minorHAnsi" w:hAnsiTheme="minorHAnsi" w:cstheme="minorHAnsi"/>
          <w:b w:val="0"/>
        </w:rPr>
        <w:t>report</w:t>
      </w:r>
      <w:r w:rsidR="00AD3F32">
        <w:rPr>
          <w:rFonts w:asciiTheme="minorHAnsi" w:hAnsiTheme="minorHAnsi" w:cstheme="minorHAnsi"/>
          <w:b w:val="0"/>
        </w:rPr>
        <w:t xml:space="preserve"> of sexual assault.  </w:t>
      </w:r>
      <w:r>
        <w:rPr>
          <w:rFonts w:asciiTheme="minorHAnsi" w:hAnsiTheme="minorHAnsi" w:cstheme="minorHAnsi"/>
          <w:b w:val="0"/>
        </w:rPr>
        <w:t xml:space="preserve">Krakauer emphasizes that the rule must govern the investigation of </w:t>
      </w:r>
      <w:r w:rsidR="00AD3F32">
        <w:rPr>
          <w:rFonts w:asciiTheme="minorHAnsi" w:hAnsiTheme="minorHAnsi" w:cstheme="minorHAnsi"/>
          <w:b w:val="0"/>
        </w:rPr>
        <w:t>such an</w:t>
      </w:r>
      <w:r>
        <w:rPr>
          <w:rFonts w:asciiTheme="minorHAnsi" w:hAnsiTheme="minorHAnsi" w:cstheme="minorHAnsi"/>
          <w:b w:val="0"/>
        </w:rPr>
        <w:t xml:space="preserve"> assault </w:t>
      </w:r>
      <w:r w:rsidR="009034B1">
        <w:rPr>
          <w:rFonts w:asciiTheme="minorHAnsi" w:hAnsiTheme="minorHAnsi" w:cstheme="minorHAnsi"/>
          <w:b w:val="0"/>
        </w:rPr>
        <w:t>until</w:t>
      </w:r>
      <w:r>
        <w:rPr>
          <w:rFonts w:asciiTheme="minorHAnsi" w:hAnsiTheme="minorHAnsi" w:cstheme="minorHAnsi"/>
          <w:b w:val="0"/>
        </w:rPr>
        <w:t xml:space="preserve"> contrary evidence (if any) overcomes </w:t>
      </w:r>
      <w:r w:rsidR="009034B1">
        <w:rPr>
          <w:rFonts w:asciiTheme="minorHAnsi" w:hAnsiTheme="minorHAnsi" w:cstheme="minorHAnsi"/>
          <w:b w:val="0"/>
        </w:rPr>
        <w:t>it</w:t>
      </w:r>
      <w:r>
        <w:rPr>
          <w:rFonts w:asciiTheme="minorHAnsi" w:hAnsiTheme="minorHAnsi" w:cstheme="minorHAnsi"/>
          <w:b w:val="0"/>
        </w:rPr>
        <w:t xml:space="preserve">; but unless the story of the “victim” is a complete fabrication (as in the Duke lacrosse case), </w:t>
      </w:r>
      <w:r w:rsidR="00481212">
        <w:rPr>
          <w:rFonts w:asciiTheme="minorHAnsi" w:hAnsiTheme="minorHAnsi" w:cstheme="minorHAnsi"/>
          <w:b w:val="0"/>
        </w:rPr>
        <w:t>it’s</w:t>
      </w:r>
      <w:r>
        <w:rPr>
          <w:rFonts w:asciiTheme="minorHAnsi" w:hAnsiTheme="minorHAnsi" w:cstheme="minorHAnsi"/>
          <w:b w:val="0"/>
        </w:rPr>
        <w:t xml:space="preserve"> hard to see how evidence against Jane Roe’s claims can mount up if the investigators </w:t>
      </w:r>
      <w:r w:rsidR="00481212">
        <w:rPr>
          <w:rFonts w:asciiTheme="minorHAnsi" w:hAnsiTheme="minorHAnsi" w:cstheme="minorHAnsi"/>
          <w:b w:val="0"/>
        </w:rPr>
        <w:t>believe them</w:t>
      </w:r>
      <w:r w:rsidR="009034B1">
        <w:rPr>
          <w:rFonts w:asciiTheme="minorHAnsi" w:hAnsiTheme="minorHAnsi" w:cstheme="minorHAnsi"/>
          <w:b w:val="0"/>
        </w:rPr>
        <w:t xml:space="preserve"> </w:t>
      </w:r>
      <w:r w:rsidR="00AD3F32">
        <w:rPr>
          <w:rFonts w:asciiTheme="minorHAnsi" w:hAnsiTheme="minorHAnsi" w:cstheme="minorHAnsi"/>
          <w:b w:val="0"/>
        </w:rPr>
        <w:t xml:space="preserve">as required, or </w:t>
      </w:r>
      <w:r w:rsidR="000D0320">
        <w:rPr>
          <w:rFonts w:asciiTheme="minorHAnsi" w:hAnsiTheme="minorHAnsi" w:cstheme="minorHAnsi"/>
          <w:b w:val="0"/>
        </w:rPr>
        <w:t>merely</w:t>
      </w:r>
      <w:r w:rsidR="00AD3F32">
        <w:rPr>
          <w:rFonts w:asciiTheme="minorHAnsi" w:hAnsiTheme="minorHAnsi" w:cstheme="minorHAnsi"/>
          <w:b w:val="0"/>
        </w:rPr>
        <w:t xml:space="preserve"> refrain from questioning them.</w:t>
      </w:r>
      <w:r>
        <w:rPr>
          <w:rFonts w:asciiTheme="minorHAnsi" w:hAnsiTheme="minorHAnsi" w:cstheme="minorHAnsi"/>
          <w:b w:val="0"/>
        </w:rPr>
        <w:t xml:space="preserve">  </w:t>
      </w:r>
      <w:r w:rsidRPr="00590B17">
        <w:rPr>
          <w:rFonts w:asciiTheme="minorHAnsi" w:hAnsiTheme="minorHAnsi" w:cstheme="minorHAnsi"/>
          <w:b w:val="0"/>
        </w:rPr>
        <w:t>However, if the case goes to trial, t</w:t>
      </w:r>
      <w:r w:rsidR="002B30D0">
        <w:rPr>
          <w:rFonts w:asciiTheme="minorHAnsi" w:hAnsiTheme="minorHAnsi" w:cstheme="minorHAnsi"/>
          <w:b w:val="0"/>
        </w:rPr>
        <w:t xml:space="preserve">he </w:t>
      </w:r>
      <w:r w:rsidR="00EE7BC5">
        <w:rPr>
          <w:rFonts w:asciiTheme="minorHAnsi" w:hAnsiTheme="minorHAnsi" w:cstheme="minorHAnsi"/>
          <w:b w:val="0"/>
        </w:rPr>
        <w:t xml:space="preserve">ground rules </w:t>
      </w:r>
      <w:r w:rsidR="002B30D0">
        <w:rPr>
          <w:rFonts w:asciiTheme="minorHAnsi" w:hAnsiTheme="minorHAnsi" w:cstheme="minorHAnsi"/>
          <w:b w:val="0"/>
        </w:rPr>
        <w:t>will be</w:t>
      </w:r>
      <w:r w:rsidR="003D0483">
        <w:rPr>
          <w:rFonts w:asciiTheme="minorHAnsi" w:hAnsiTheme="minorHAnsi" w:cstheme="minorHAnsi"/>
          <w:b w:val="0"/>
        </w:rPr>
        <w:t xml:space="preserve"> less friendly to Jane Roe</w:t>
      </w:r>
      <w:r w:rsidR="00C674E5" w:rsidRPr="00590B17">
        <w:rPr>
          <w:rFonts w:asciiTheme="minorHAnsi" w:hAnsiTheme="minorHAnsi" w:cstheme="minorHAnsi"/>
          <w:b w:val="0"/>
        </w:rPr>
        <w:t xml:space="preserve"> and the infamous difficulty of getting convictions in rape cases will come into play.  A</w:t>
      </w:r>
      <w:r w:rsidRPr="00590B17">
        <w:rPr>
          <w:rFonts w:asciiTheme="minorHAnsi" w:hAnsiTheme="minorHAnsi" w:cstheme="minorHAnsi"/>
          <w:b w:val="0"/>
        </w:rPr>
        <w:t xml:space="preserve">t that point </w:t>
      </w:r>
      <w:r w:rsidR="00596AC2" w:rsidRPr="00590B17">
        <w:rPr>
          <w:rFonts w:asciiTheme="minorHAnsi" w:hAnsiTheme="minorHAnsi" w:cstheme="minorHAnsi"/>
          <w:b w:val="0"/>
        </w:rPr>
        <w:t xml:space="preserve">each and every one of </w:t>
      </w:r>
      <w:r w:rsidRPr="00590B17">
        <w:rPr>
          <w:rFonts w:asciiTheme="minorHAnsi" w:hAnsiTheme="minorHAnsi" w:cstheme="minorHAnsi"/>
          <w:b w:val="0"/>
        </w:rPr>
        <w:t>her claims will be subjected to all the questioning from which th</w:t>
      </w:r>
      <w:r w:rsidR="005100C5">
        <w:rPr>
          <w:rFonts w:asciiTheme="minorHAnsi" w:hAnsiTheme="minorHAnsi" w:cstheme="minorHAnsi"/>
          <w:b w:val="0"/>
        </w:rPr>
        <w:t>ey have been carefully shielded, as</w:t>
      </w:r>
      <w:r w:rsidRPr="00590B17">
        <w:rPr>
          <w:rFonts w:asciiTheme="minorHAnsi" w:hAnsiTheme="minorHAnsi" w:cstheme="minorHAnsi"/>
          <w:b w:val="0"/>
        </w:rPr>
        <w:t xml:space="preserve"> happened in </w:t>
      </w:r>
      <w:r w:rsidR="00241860">
        <w:rPr>
          <w:rFonts w:asciiTheme="minorHAnsi" w:hAnsiTheme="minorHAnsi" w:cstheme="minorHAnsi"/>
          <w:b w:val="0"/>
        </w:rPr>
        <w:t xml:space="preserve">the second of the two cases occupying most of </w:t>
      </w:r>
      <w:r w:rsidR="00596AC2" w:rsidRPr="00590B17">
        <w:rPr>
          <w:rFonts w:asciiTheme="minorHAnsi" w:hAnsiTheme="minorHAnsi" w:cstheme="minorHAnsi"/>
          <w:b w:val="0"/>
        </w:rPr>
        <w:t xml:space="preserve">the Krakauer book: </w:t>
      </w:r>
      <w:r w:rsidRPr="00590B17">
        <w:rPr>
          <w:rFonts w:asciiTheme="minorHAnsi" w:hAnsiTheme="minorHAnsi" w:cstheme="minorHAnsi"/>
          <w:b w:val="0"/>
        </w:rPr>
        <w:t xml:space="preserve">that of the acquitted quarterback.  </w:t>
      </w:r>
      <w:r>
        <w:rPr>
          <w:rFonts w:asciiTheme="minorHAnsi" w:hAnsiTheme="minorHAnsi" w:cstheme="minorHAnsi"/>
          <w:b w:val="0"/>
        </w:rPr>
        <w:t xml:space="preserve">In that instance, the policy of believing the victim </w:t>
      </w:r>
      <w:r w:rsidR="00FB74B5">
        <w:rPr>
          <w:rFonts w:asciiTheme="minorHAnsi" w:hAnsiTheme="minorHAnsi" w:cstheme="minorHAnsi"/>
          <w:b w:val="0"/>
        </w:rPr>
        <w:t xml:space="preserve">from the beginning </w:t>
      </w:r>
      <w:r>
        <w:rPr>
          <w:rFonts w:asciiTheme="minorHAnsi" w:hAnsiTheme="minorHAnsi" w:cstheme="minorHAnsi"/>
          <w:b w:val="0"/>
        </w:rPr>
        <w:t>delivered her ultimately into a courtroom where the claims a</w:t>
      </w:r>
      <w:r w:rsidR="00590B17">
        <w:rPr>
          <w:rFonts w:asciiTheme="minorHAnsi" w:hAnsiTheme="minorHAnsi" w:cstheme="minorHAnsi"/>
          <w:b w:val="0"/>
        </w:rPr>
        <w:t>ccepted by investigators</w:t>
      </w:r>
      <w:r>
        <w:rPr>
          <w:rFonts w:asciiTheme="minorHAnsi" w:hAnsiTheme="minorHAnsi" w:cstheme="minorHAnsi"/>
          <w:b w:val="0"/>
        </w:rPr>
        <w:t xml:space="preserve"> were torn to </w:t>
      </w:r>
      <w:r w:rsidR="00E82490">
        <w:rPr>
          <w:rFonts w:asciiTheme="minorHAnsi" w:hAnsiTheme="minorHAnsi" w:cstheme="minorHAnsi"/>
          <w:b w:val="0"/>
        </w:rPr>
        <w:t>bits</w:t>
      </w:r>
      <w:r>
        <w:rPr>
          <w:rFonts w:asciiTheme="minorHAnsi" w:hAnsiTheme="minorHAnsi" w:cstheme="minorHAnsi"/>
          <w:b w:val="0"/>
        </w:rPr>
        <w:t xml:space="preserve">, with damage to her that can scarcely be imagined.  </w:t>
      </w:r>
    </w:p>
    <w:p w14:paraId="4C4937E5" w14:textId="77777777" w:rsidR="008E35AA" w:rsidRDefault="00B50A66" w:rsidP="00590B17">
      <w:pPr>
        <w:spacing w:line="480" w:lineRule="auto"/>
        <w:ind w:firstLine="720"/>
        <w:rPr>
          <w:rFonts w:asciiTheme="minorHAnsi" w:hAnsiTheme="minorHAnsi" w:cstheme="minorHAnsi"/>
          <w:b w:val="0"/>
        </w:rPr>
      </w:pPr>
      <w:r>
        <w:rPr>
          <w:rFonts w:asciiTheme="minorHAnsi" w:hAnsiTheme="minorHAnsi" w:cstheme="minorHAnsi"/>
          <w:b w:val="0"/>
        </w:rPr>
        <w:t xml:space="preserve">Records of the case in question show how weak, and therefore how vulnerable to demolition in the courtroom, evidence accepted by </w:t>
      </w:r>
      <w:r w:rsidR="00C674E5">
        <w:rPr>
          <w:rFonts w:asciiTheme="minorHAnsi" w:hAnsiTheme="minorHAnsi" w:cstheme="minorHAnsi"/>
          <w:b w:val="0"/>
        </w:rPr>
        <w:t>a sympathetic investigator</w:t>
      </w:r>
      <w:r>
        <w:rPr>
          <w:rFonts w:asciiTheme="minorHAnsi" w:hAnsiTheme="minorHAnsi" w:cstheme="minorHAnsi"/>
          <w:b w:val="0"/>
        </w:rPr>
        <w:t xml:space="preserve"> can be.</w:t>
      </w:r>
      <w:r w:rsidR="00857FAB">
        <w:rPr>
          <w:rFonts w:asciiTheme="minorHAnsi" w:hAnsiTheme="minorHAnsi" w:cstheme="minorHAnsi"/>
          <w:b w:val="0"/>
        </w:rPr>
        <w:t xml:space="preserve">  </w:t>
      </w:r>
      <w:r>
        <w:rPr>
          <w:rFonts w:asciiTheme="minorHAnsi" w:hAnsiTheme="minorHAnsi" w:cstheme="minorHAnsi"/>
          <w:b w:val="0"/>
        </w:rPr>
        <w:t xml:space="preserve">On </w:t>
      </w:r>
      <w:r>
        <w:rPr>
          <w:rFonts w:asciiTheme="minorHAnsi" w:hAnsiTheme="minorHAnsi" w:cstheme="minorHAnsi"/>
          <w:b w:val="0"/>
        </w:rPr>
        <w:lastRenderedPageBreak/>
        <w:t>March 27, 2012</w:t>
      </w:r>
      <w:r w:rsidR="003533D1">
        <w:rPr>
          <w:rFonts w:asciiTheme="minorHAnsi" w:hAnsiTheme="minorHAnsi" w:cstheme="minorHAnsi"/>
          <w:b w:val="0"/>
        </w:rPr>
        <w:t>,</w:t>
      </w:r>
      <w:r>
        <w:rPr>
          <w:rFonts w:asciiTheme="minorHAnsi" w:hAnsiTheme="minorHAnsi" w:cstheme="minorHAnsi"/>
          <w:b w:val="0"/>
        </w:rPr>
        <w:t xml:space="preserve"> </w:t>
      </w:r>
      <w:r w:rsidR="00125D6C">
        <w:rPr>
          <w:rFonts w:asciiTheme="minorHAnsi" w:hAnsiTheme="minorHAnsi" w:cstheme="minorHAnsi"/>
          <w:b w:val="0"/>
        </w:rPr>
        <w:t xml:space="preserve">UM’s Dean of Students </w:t>
      </w:r>
      <w:r>
        <w:rPr>
          <w:rFonts w:asciiTheme="minorHAnsi" w:hAnsiTheme="minorHAnsi" w:cstheme="minorHAnsi"/>
          <w:b w:val="0"/>
        </w:rPr>
        <w:t>stated in a letter to the accused</w:t>
      </w:r>
      <w:r w:rsidR="00E82490">
        <w:rPr>
          <w:rFonts w:asciiTheme="minorHAnsi" w:hAnsiTheme="minorHAnsi" w:cstheme="minorHAnsi"/>
          <w:b w:val="0"/>
        </w:rPr>
        <w:t xml:space="preserve"> quarterback</w:t>
      </w:r>
      <w:r>
        <w:rPr>
          <w:rFonts w:asciiTheme="minorHAnsi" w:hAnsiTheme="minorHAnsi" w:cstheme="minorHAnsi"/>
          <w:b w:val="0"/>
        </w:rPr>
        <w:t xml:space="preserve">, Jordan Johnson, that he had found by a </w:t>
      </w:r>
      <w:r w:rsidRPr="009034B1">
        <w:rPr>
          <w:rFonts w:asciiTheme="minorHAnsi" w:hAnsiTheme="minorHAnsi" w:cstheme="minorHAnsi"/>
          <w:b w:val="0"/>
        </w:rPr>
        <w:t>preponderance of evidence</w:t>
      </w:r>
      <w:r w:rsidR="00CC12C6">
        <w:rPr>
          <w:rFonts w:asciiTheme="minorHAnsi" w:hAnsiTheme="minorHAnsi" w:cstheme="minorHAnsi"/>
          <w:b w:val="0"/>
        </w:rPr>
        <w:t xml:space="preserve">—the standard required by DOE—that </w:t>
      </w:r>
      <w:r>
        <w:rPr>
          <w:rFonts w:asciiTheme="minorHAnsi" w:hAnsiTheme="minorHAnsi" w:cstheme="minorHAnsi"/>
          <w:b w:val="0"/>
        </w:rPr>
        <w:t xml:space="preserve">Johnson raped the student given the </w:t>
      </w:r>
      <w:r w:rsidR="00857FAB">
        <w:rPr>
          <w:rFonts w:asciiTheme="minorHAnsi" w:hAnsiTheme="minorHAnsi" w:cstheme="minorHAnsi"/>
          <w:b w:val="0"/>
        </w:rPr>
        <w:t>pseudonym</w:t>
      </w:r>
      <w:r>
        <w:rPr>
          <w:rFonts w:asciiTheme="minorHAnsi" w:hAnsiTheme="minorHAnsi" w:cstheme="minorHAnsi"/>
          <w:b w:val="0"/>
        </w:rPr>
        <w:t xml:space="preserve"> Cecilia Washburn by Krakauer. </w:t>
      </w:r>
      <w:r w:rsidR="00635702">
        <w:rPr>
          <w:rFonts w:asciiTheme="minorHAnsi" w:hAnsiTheme="minorHAnsi" w:cstheme="minorHAnsi"/>
          <w:b w:val="0"/>
        </w:rPr>
        <w:t xml:space="preserve"> He recommended expulsion, a penalty upheld by UM’s President, Royce Engstrom.  </w:t>
      </w:r>
      <w:r w:rsidR="008E35AA">
        <w:rPr>
          <w:rFonts w:asciiTheme="minorHAnsi" w:hAnsiTheme="minorHAnsi" w:cstheme="minorHAnsi"/>
          <w:b w:val="0"/>
        </w:rPr>
        <w:t>The only evidence cited by the dean is the following:</w:t>
      </w:r>
    </w:p>
    <w:p w14:paraId="2FF22CED" w14:textId="77777777" w:rsidR="008E35AA" w:rsidRDefault="008E35AA" w:rsidP="00590B17">
      <w:pPr>
        <w:spacing w:line="480" w:lineRule="auto"/>
        <w:ind w:left="720"/>
        <w:rPr>
          <w:rFonts w:asciiTheme="minorHAnsi" w:hAnsiTheme="minorHAnsi" w:cstheme="minorHAnsi"/>
          <w:b w:val="0"/>
        </w:rPr>
      </w:pPr>
    </w:p>
    <w:p w14:paraId="78B246AD" w14:textId="77777777" w:rsidR="00B50A66" w:rsidRDefault="00B50A66" w:rsidP="00590B17">
      <w:pPr>
        <w:spacing w:line="480" w:lineRule="auto"/>
        <w:ind w:left="720"/>
        <w:rPr>
          <w:rFonts w:asciiTheme="minorHAnsi" w:hAnsiTheme="minorHAnsi" w:cstheme="minorHAnsi"/>
          <w:b w:val="0"/>
        </w:rPr>
      </w:pPr>
      <w:r>
        <w:rPr>
          <w:rFonts w:asciiTheme="minorHAnsi" w:hAnsiTheme="minorHAnsi" w:cstheme="minorHAnsi"/>
          <w:b w:val="0"/>
        </w:rPr>
        <w:t>1.  “Contrary to your repeated assertion, text messages between you and the victim prove you and the victim were more than mere acquaintances.</w:t>
      </w:r>
      <w:r w:rsidR="00857FAB">
        <w:rPr>
          <w:rFonts w:asciiTheme="minorHAnsi" w:hAnsiTheme="minorHAnsi" w:cstheme="minorHAnsi"/>
          <w:b w:val="0"/>
        </w:rPr>
        <w:t>”</w:t>
      </w:r>
    </w:p>
    <w:p w14:paraId="6A4E5F18" w14:textId="77777777" w:rsidR="00B50A66" w:rsidRDefault="00B50A66" w:rsidP="00590B17">
      <w:pPr>
        <w:spacing w:line="480" w:lineRule="auto"/>
        <w:ind w:left="720"/>
        <w:rPr>
          <w:rFonts w:asciiTheme="minorHAnsi" w:hAnsiTheme="minorHAnsi" w:cstheme="minorHAnsi"/>
          <w:b w:val="0"/>
        </w:rPr>
      </w:pPr>
    </w:p>
    <w:p w14:paraId="5BA30C7C" w14:textId="77777777" w:rsidR="00B50A66" w:rsidRDefault="00B50A66" w:rsidP="00590B17">
      <w:pPr>
        <w:spacing w:line="480" w:lineRule="auto"/>
        <w:ind w:left="720"/>
        <w:rPr>
          <w:rFonts w:asciiTheme="minorHAnsi" w:hAnsiTheme="minorHAnsi" w:cstheme="minorHAnsi"/>
          <w:b w:val="0"/>
        </w:rPr>
      </w:pPr>
      <w:r>
        <w:rPr>
          <w:rFonts w:asciiTheme="minorHAnsi" w:hAnsiTheme="minorHAnsi" w:cstheme="minorHAnsi"/>
          <w:b w:val="0"/>
        </w:rPr>
        <w:t>2.  “Your previous conduct in your University residence hall</w:t>
      </w:r>
      <w:r w:rsidR="00857FAB">
        <w:rPr>
          <w:rFonts w:asciiTheme="minorHAnsi" w:hAnsiTheme="minorHAnsi" w:cstheme="minorHAnsi"/>
          <w:b w:val="0"/>
        </w:rPr>
        <w:t xml:space="preserve">.” </w:t>
      </w:r>
      <w:r>
        <w:rPr>
          <w:rFonts w:asciiTheme="minorHAnsi" w:hAnsiTheme="minorHAnsi" w:cstheme="minorHAnsi"/>
          <w:b w:val="0"/>
        </w:rPr>
        <w:t xml:space="preserve"> [Johnson had been disciplined for being drunk and disorderly</w:t>
      </w:r>
      <w:r w:rsidR="00857FAB">
        <w:rPr>
          <w:rFonts w:asciiTheme="minorHAnsi" w:hAnsiTheme="minorHAnsi" w:cstheme="minorHAnsi"/>
          <w:b w:val="0"/>
        </w:rPr>
        <w:t>.]</w:t>
      </w:r>
    </w:p>
    <w:p w14:paraId="1922D90D" w14:textId="77777777" w:rsidR="00857FAB" w:rsidRDefault="00857FAB" w:rsidP="00590B17">
      <w:pPr>
        <w:spacing w:line="480" w:lineRule="auto"/>
        <w:ind w:left="720"/>
        <w:rPr>
          <w:rFonts w:asciiTheme="minorHAnsi" w:hAnsiTheme="minorHAnsi" w:cstheme="minorHAnsi"/>
          <w:b w:val="0"/>
        </w:rPr>
      </w:pPr>
    </w:p>
    <w:p w14:paraId="68ED7FB1" w14:textId="77777777" w:rsidR="00857FAB" w:rsidRDefault="00857FAB" w:rsidP="00590B17">
      <w:pPr>
        <w:spacing w:line="480" w:lineRule="auto"/>
        <w:ind w:left="720"/>
        <w:rPr>
          <w:rFonts w:asciiTheme="minorHAnsi" w:hAnsiTheme="minorHAnsi" w:cstheme="minorHAnsi"/>
          <w:b w:val="0"/>
        </w:rPr>
      </w:pPr>
      <w:r>
        <w:rPr>
          <w:rFonts w:asciiTheme="minorHAnsi" w:hAnsiTheme="minorHAnsi" w:cstheme="minorHAnsi"/>
          <w:b w:val="0"/>
        </w:rPr>
        <w:t>3.  “Your assertion that you and the victim had jointly initiated getting together the night of the rape; a copy of your text message to the victim clearly proves you initiated the meeting.”</w:t>
      </w:r>
    </w:p>
    <w:p w14:paraId="7A489D70" w14:textId="77777777" w:rsidR="00857FAB" w:rsidRDefault="00857FAB" w:rsidP="00590B17">
      <w:pPr>
        <w:spacing w:line="480" w:lineRule="auto"/>
        <w:ind w:left="720"/>
        <w:rPr>
          <w:rFonts w:asciiTheme="minorHAnsi" w:hAnsiTheme="minorHAnsi" w:cstheme="minorHAnsi"/>
          <w:b w:val="0"/>
        </w:rPr>
      </w:pPr>
    </w:p>
    <w:p w14:paraId="4ECCC05B" w14:textId="77777777" w:rsidR="00857FAB" w:rsidRDefault="00857FAB" w:rsidP="00590B17">
      <w:pPr>
        <w:spacing w:line="480" w:lineRule="auto"/>
        <w:ind w:left="720"/>
        <w:rPr>
          <w:rFonts w:asciiTheme="minorHAnsi" w:hAnsiTheme="minorHAnsi" w:cstheme="minorHAnsi"/>
          <w:b w:val="0"/>
        </w:rPr>
      </w:pPr>
      <w:r>
        <w:rPr>
          <w:rFonts w:asciiTheme="minorHAnsi" w:hAnsiTheme="minorHAnsi" w:cstheme="minorHAnsi"/>
          <w:b w:val="0"/>
        </w:rPr>
        <w:t>4.  “The complete and immediate cessation of your friendship with the victim following the night of the rape.”</w:t>
      </w:r>
    </w:p>
    <w:p w14:paraId="1FFC47D7" w14:textId="77777777" w:rsidR="00857FAB" w:rsidRDefault="00857FAB" w:rsidP="00590B17">
      <w:pPr>
        <w:spacing w:line="480" w:lineRule="auto"/>
        <w:ind w:left="720"/>
        <w:rPr>
          <w:rFonts w:asciiTheme="minorHAnsi" w:hAnsiTheme="minorHAnsi" w:cstheme="minorHAnsi"/>
          <w:b w:val="0"/>
        </w:rPr>
      </w:pPr>
    </w:p>
    <w:p w14:paraId="2C5CC259" w14:textId="77777777" w:rsidR="00857FAB" w:rsidRPr="00857FAB" w:rsidRDefault="00857FAB" w:rsidP="00590B17">
      <w:pPr>
        <w:spacing w:line="480" w:lineRule="auto"/>
        <w:ind w:left="720"/>
        <w:rPr>
          <w:rFonts w:asciiTheme="minorHAnsi" w:hAnsiTheme="minorHAnsi" w:cstheme="minorHAnsi"/>
          <w:b w:val="0"/>
        </w:rPr>
      </w:pPr>
      <w:r>
        <w:rPr>
          <w:rFonts w:asciiTheme="minorHAnsi" w:hAnsiTheme="minorHAnsi" w:cstheme="minorHAnsi"/>
          <w:b w:val="0"/>
        </w:rPr>
        <w:t xml:space="preserve">5.  “Your failure to attempt to retrieve your watch that you forgot at the victim’s house, despite your assertion that this watch had been a present to you from your sister.” </w:t>
      </w:r>
    </w:p>
    <w:p w14:paraId="7D988F7E" w14:textId="77777777" w:rsidR="00857FAB" w:rsidRDefault="00857FAB" w:rsidP="00590B17">
      <w:pPr>
        <w:spacing w:line="480" w:lineRule="auto"/>
        <w:rPr>
          <w:rFonts w:asciiTheme="minorHAnsi" w:hAnsiTheme="minorHAnsi" w:cstheme="minorHAnsi"/>
          <w:b w:val="0"/>
        </w:rPr>
      </w:pPr>
    </w:p>
    <w:p w14:paraId="60C5D9B2" w14:textId="77777777" w:rsidR="00332DAF" w:rsidRPr="00267F04" w:rsidRDefault="00332DAF" w:rsidP="00332DAF">
      <w:pPr>
        <w:spacing w:line="480" w:lineRule="auto"/>
        <w:ind w:firstLine="720"/>
        <w:rPr>
          <w:rFonts w:asciiTheme="minorHAnsi" w:hAnsiTheme="minorHAnsi" w:cstheme="minorHAnsi"/>
          <w:b w:val="0"/>
        </w:rPr>
      </w:pPr>
      <w:r>
        <w:rPr>
          <w:rFonts w:asciiTheme="minorHAnsi" w:hAnsiTheme="minorHAnsi" w:cstheme="minorHAnsi"/>
          <w:b w:val="0"/>
        </w:rPr>
        <w:lastRenderedPageBreak/>
        <w:t xml:space="preserve">Despite the dean’s robust language, none of this “evidence” establishes that Jordan Johnson raped Cecilia Washburn.  Indeed, to someone not already convinced of Johnson’s guilt, the entire stack amounts to little if anything.  That Johnson and his accuser were more than acquaintances proves precisely nothing, as is also true of the trail of messages showing that the encounter in question was initiated by Johnson.  Johnson’s </w:t>
      </w:r>
      <w:r w:rsidRPr="00673404">
        <w:rPr>
          <w:rFonts w:asciiTheme="minorHAnsi" w:hAnsiTheme="minorHAnsi" w:cstheme="minorHAnsi"/>
          <w:b w:val="0"/>
        </w:rPr>
        <w:t xml:space="preserve">offense of </w:t>
      </w:r>
      <w:r>
        <w:rPr>
          <w:rFonts w:asciiTheme="minorHAnsi" w:hAnsiTheme="minorHAnsi" w:cstheme="minorHAnsi"/>
          <w:b w:val="0"/>
        </w:rPr>
        <w:t>being</w:t>
      </w:r>
      <w:r w:rsidRPr="00673404">
        <w:rPr>
          <w:rFonts w:asciiTheme="minorHAnsi" w:hAnsiTheme="minorHAnsi" w:cstheme="minorHAnsi"/>
          <w:b w:val="0"/>
        </w:rPr>
        <w:t xml:space="preserve"> drunk and disorderly at a party </w:t>
      </w:r>
      <w:r>
        <w:rPr>
          <w:rFonts w:asciiTheme="minorHAnsi" w:hAnsiTheme="minorHAnsi" w:cstheme="minorHAnsi"/>
          <w:b w:val="0"/>
        </w:rPr>
        <w:t xml:space="preserve">a year before </w:t>
      </w:r>
      <w:r w:rsidRPr="00673404">
        <w:rPr>
          <w:rFonts w:asciiTheme="minorHAnsi" w:hAnsiTheme="minorHAnsi" w:cstheme="minorHAnsi"/>
          <w:b w:val="0"/>
        </w:rPr>
        <w:t xml:space="preserve">has no </w:t>
      </w:r>
      <w:r>
        <w:rPr>
          <w:rFonts w:asciiTheme="minorHAnsi" w:hAnsiTheme="minorHAnsi" w:cstheme="minorHAnsi"/>
          <w:b w:val="0"/>
        </w:rPr>
        <w:t>bearing on the case</w:t>
      </w:r>
      <w:r w:rsidRPr="00673404">
        <w:rPr>
          <w:rFonts w:asciiTheme="minorHAnsi" w:hAnsiTheme="minorHAnsi" w:cstheme="minorHAnsi"/>
          <w:b w:val="0"/>
        </w:rPr>
        <w:t>.</w:t>
      </w:r>
      <w:r>
        <w:rPr>
          <w:rFonts w:asciiTheme="minorHAnsi" w:hAnsiTheme="minorHAnsi" w:cstheme="minorHAnsi"/>
          <w:b w:val="0"/>
        </w:rPr>
        <w:t xml:space="preserve">  The “immediate and complete cessation” of friendship covers a total of eight days, the period from the date of the alleged rape (Feb. 4) to the date of Johnson’s receipt of a letter from the dean notifying him that he was charged with rape (Feb. 12), after which we might well expect a total severance of communication.  Indeed, Cecilia Washburn obtained a restraining order against Johnson on March 9, after she saw him at a distance.  What about the watch?</w:t>
      </w:r>
      <w:r w:rsidRPr="00590B17">
        <w:rPr>
          <w:rFonts w:asciiTheme="minorHAnsi" w:hAnsiTheme="minorHAnsi" w:cstheme="minorHAnsi"/>
          <w:b w:val="0"/>
          <w:i/>
        </w:rPr>
        <w:t xml:space="preserve">  </w:t>
      </w:r>
      <w:r w:rsidRPr="007F19E3">
        <w:rPr>
          <w:rFonts w:asciiTheme="minorHAnsi" w:hAnsiTheme="minorHAnsi" w:cstheme="minorHAnsi"/>
          <w:b w:val="0"/>
        </w:rPr>
        <w:t>Only if you already believe that Jordan Johnson raped Cecilia Washburn</w:t>
      </w:r>
      <w:r>
        <w:rPr>
          <w:rFonts w:asciiTheme="minorHAnsi" w:hAnsiTheme="minorHAnsi" w:cstheme="minorHAnsi"/>
          <w:b w:val="0"/>
        </w:rPr>
        <w:t xml:space="preserve"> does it becoming incriminating.  “He left an item of sentimental value at the victim’s house because he couldn’t bring himself to confront the woman he raped.  It’s a damning confession of guilt.”  If you don’t presume the defendant’s guilt, his failure to retrieve a watch certainly doesn’t establish it.  While the dean accepted the accuser’s account without being required to do so by a belief rule, his enumeration of the evidence against Johnson shows how greatly a belief in the truth of an allegation of sexual assault </w:t>
      </w:r>
      <w:r w:rsidRPr="00DE33DC">
        <w:rPr>
          <w:rFonts w:asciiTheme="minorHAnsi" w:hAnsiTheme="minorHAnsi" w:cstheme="minorHAnsi"/>
          <w:b w:val="0"/>
        </w:rPr>
        <w:t>can change the weight and value of the evidence itself</w:t>
      </w:r>
      <w:r>
        <w:rPr>
          <w:rFonts w:asciiTheme="minorHAnsi" w:hAnsiTheme="minorHAnsi" w:cstheme="minorHAnsi"/>
          <w:b w:val="0"/>
        </w:rPr>
        <w:t xml:space="preserve">.   </w:t>
      </w:r>
    </w:p>
    <w:p w14:paraId="213D647F" w14:textId="77777777" w:rsidR="00E3080B" w:rsidRPr="00DE33DC" w:rsidRDefault="00E3080B" w:rsidP="00590B17">
      <w:pPr>
        <w:spacing w:line="480" w:lineRule="auto"/>
        <w:ind w:firstLine="720"/>
        <w:rPr>
          <w:rFonts w:asciiTheme="minorHAnsi" w:hAnsiTheme="minorHAnsi" w:cstheme="minorHAnsi"/>
          <w:b w:val="0"/>
        </w:rPr>
      </w:pPr>
      <w:r w:rsidRPr="00DE33DC">
        <w:rPr>
          <w:rFonts w:asciiTheme="minorHAnsi" w:hAnsiTheme="minorHAnsi" w:cstheme="minorHAnsi"/>
          <w:b w:val="0"/>
        </w:rPr>
        <w:t xml:space="preserve">Under the influence of a presumption of guilt, many details ambiguous in themselves suddenly </w:t>
      </w:r>
      <w:r w:rsidR="009A6CE7" w:rsidRPr="00DE33DC">
        <w:rPr>
          <w:rFonts w:asciiTheme="minorHAnsi" w:hAnsiTheme="minorHAnsi" w:cstheme="minorHAnsi"/>
          <w:b w:val="0"/>
        </w:rPr>
        <w:t>assume the appearance</w:t>
      </w:r>
      <w:r w:rsidRPr="00DE33DC">
        <w:rPr>
          <w:rFonts w:asciiTheme="minorHAnsi" w:hAnsiTheme="minorHAnsi" w:cstheme="minorHAnsi"/>
          <w:b w:val="0"/>
        </w:rPr>
        <w:t xml:space="preserve"> of incriminating evidence.  In an unrelated case, the </w:t>
      </w:r>
      <w:r w:rsidR="008E35AA" w:rsidRPr="00DE33DC">
        <w:rPr>
          <w:rFonts w:asciiTheme="minorHAnsi" w:hAnsiTheme="minorHAnsi" w:cstheme="minorHAnsi"/>
          <w:b w:val="0"/>
        </w:rPr>
        <w:t xml:space="preserve">same </w:t>
      </w:r>
      <w:r w:rsidRPr="00DE33DC">
        <w:rPr>
          <w:rFonts w:asciiTheme="minorHAnsi" w:hAnsiTheme="minorHAnsi" w:cstheme="minorHAnsi"/>
          <w:b w:val="0"/>
        </w:rPr>
        <w:t>Dean of Students included the theft of the victim’s jeans as evidence against a student ac</w:t>
      </w:r>
      <w:r w:rsidR="00590B17">
        <w:rPr>
          <w:rFonts w:asciiTheme="minorHAnsi" w:hAnsiTheme="minorHAnsi" w:cstheme="minorHAnsi"/>
          <w:b w:val="0"/>
        </w:rPr>
        <w:t>cused and convicted of rape</w:t>
      </w:r>
      <w:r w:rsidRPr="00DE33DC">
        <w:rPr>
          <w:rFonts w:asciiTheme="minorHAnsi" w:hAnsiTheme="minorHAnsi" w:cstheme="minorHAnsi"/>
          <w:b w:val="0"/>
        </w:rPr>
        <w:t xml:space="preserve">.  While the jeans could have been taken as a trophy of </w:t>
      </w:r>
      <w:r w:rsidR="008E35AA" w:rsidRPr="00DE33DC">
        <w:rPr>
          <w:rFonts w:asciiTheme="minorHAnsi" w:hAnsiTheme="minorHAnsi" w:cstheme="minorHAnsi"/>
          <w:b w:val="0"/>
        </w:rPr>
        <w:t xml:space="preserve">a </w:t>
      </w:r>
      <w:r w:rsidRPr="00DE33DC">
        <w:rPr>
          <w:rFonts w:asciiTheme="minorHAnsi" w:hAnsiTheme="minorHAnsi" w:cstheme="minorHAnsi"/>
          <w:b w:val="0"/>
        </w:rPr>
        <w:t xml:space="preserve">crime, they </w:t>
      </w:r>
      <w:r w:rsidRPr="00DE33DC">
        <w:rPr>
          <w:rFonts w:asciiTheme="minorHAnsi" w:hAnsiTheme="minorHAnsi" w:cstheme="minorHAnsi"/>
          <w:b w:val="0"/>
        </w:rPr>
        <w:lastRenderedPageBreak/>
        <w:t xml:space="preserve">could also have been taken as a souvenir of a sexual encounter the male </w:t>
      </w:r>
      <w:r w:rsidR="00AA5529">
        <w:rPr>
          <w:rFonts w:asciiTheme="minorHAnsi" w:hAnsiTheme="minorHAnsi" w:cstheme="minorHAnsi"/>
          <w:b w:val="0"/>
        </w:rPr>
        <w:t>acknowledged</w:t>
      </w:r>
      <w:r w:rsidRPr="00DE33DC">
        <w:rPr>
          <w:rFonts w:asciiTheme="minorHAnsi" w:hAnsiTheme="minorHAnsi" w:cstheme="minorHAnsi"/>
          <w:b w:val="0"/>
        </w:rPr>
        <w:t xml:space="preserve"> to be his first.  In the Jordan Johnson case, </w:t>
      </w:r>
      <w:r w:rsidR="00590B17">
        <w:rPr>
          <w:rFonts w:asciiTheme="minorHAnsi" w:hAnsiTheme="minorHAnsi" w:cstheme="minorHAnsi"/>
          <w:b w:val="0"/>
        </w:rPr>
        <w:t>both the prosecutor</w:t>
      </w:r>
      <w:r w:rsidR="009C15A5" w:rsidRPr="00DE33DC">
        <w:rPr>
          <w:rFonts w:asciiTheme="minorHAnsi" w:hAnsiTheme="minorHAnsi" w:cstheme="minorHAnsi"/>
          <w:b w:val="0"/>
        </w:rPr>
        <w:t xml:space="preserve"> and </w:t>
      </w:r>
      <w:r w:rsidRPr="00DE33DC">
        <w:rPr>
          <w:rFonts w:asciiTheme="minorHAnsi" w:hAnsiTheme="minorHAnsi" w:cstheme="minorHAnsi"/>
          <w:b w:val="0"/>
        </w:rPr>
        <w:t xml:space="preserve">Krakauer </w:t>
      </w:r>
      <w:r w:rsidR="00590B17">
        <w:rPr>
          <w:rFonts w:asciiTheme="minorHAnsi" w:hAnsiTheme="minorHAnsi" w:cstheme="minorHAnsi"/>
          <w:b w:val="0"/>
        </w:rPr>
        <w:t>himself</w:t>
      </w:r>
      <w:r w:rsidR="004606D5" w:rsidRPr="00DE33DC">
        <w:rPr>
          <w:rFonts w:asciiTheme="minorHAnsi" w:hAnsiTheme="minorHAnsi" w:cstheme="minorHAnsi"/>
          <w:b w:val="0"/>
        </w:rPr>
        <w:t xml:space="preserve"> </w:t>
      </w:r>
      <w:r w:rsidR="002C217D">
        <w:rPr>
          <w:rFonts w:asciiTheme="minorHAnsi" w:hAnsiTheme="minorHAnsi" w:cstheme="minorHAnsi"/>
          <w:b w:val="0"/>
        </w:rPr>
        <w:t>construe</w:t>
      </w:r>
      <w:r w:rsidRPr="00DE33DC">
        <w:rPr>
          <w:rFonts w:asciiTheme="minorHAnsi" w:hAnsiTheme="minorHAnsi" w:cstheme="minorHAnsi"/>
          <w:b w:val="0"/>
        </w:rPr>
        <w:t xml:space="preserve"> the fact that Cecilia Washburn “had not showered for more than twenty-four hours” at the time of her encounter with Johnson as evidence that she had no intention of a sexual liaison (even though she is reported </w:t>
      </w:r>
      <w:r w:rsidR="000D0320" w:rsidRPr="00DE33DC">
        <w:rPr>
          <w:rFonts w:asciiTheme="minorHAnsi" w:hAnsiTheme="minorHAnsi" w:cstheme="minorHAnsi"/>
          <w:b w:val="0"/>
        </w:rPr>
        <w:t xml:space="preserve">by a witness </w:t>
      </w:r>
      <w:r w:rsidRPr="00DE33DC">
        <w:rPr>
          <w:rFonts w:asciiTheme="minorHAnsi" w:hAnsiTheme="minorHAnsi" w:cstheme="minorHAnsi"/>
          <w:b w:val="0"/>
        </w:rPr>
        <w:t xml:space="preserve">to have said to Johnson the night before, “Jordy, I would do you anytime”).  Unless governed by a prior belief in the guilt of the accused, the significance of a detail like this is too indeterminate to bear the weight of evidence.  As in these </w:t>
      </w:r>
      <w:r w:rsidR="000D0320" w:rsidRPr="00DE33DC">
        <w:rPr>
          <w:rFonts w:asciiTheme="minorHAnsi" w:hAnsiTheme="minorHAnsi" w:cstheme="minorHAnsi"/>
          <w:b w:val="0"/>
        </w:rPr>
        <w:t>instances</w:t>
      </w:r>
      <w:r w:rsidRPr="00DE33DC">
        <w:rPr>
          <w:rFonts w:asciiTheme="minorHAnsi" w:hAnsiTheme="minorHAnsi" w:cstheme="minorHAnsi"/>
          <w:b w:val="0"/>
        </w:rPr>
        <w:t xml:space="preserve">, the presumption of guilt generally acts as a heat source that </w:t>
      </w:r>
      <w:r w:rsidR="000D0320" w:rsidRPr="00DE33DC">
        <w:rPr>
          <w:rFonts w:asciiTheme="minorHAnsi" w:hAnsiTheme="minorHAnsi" w:cstheme="minorHAnsi"/>
          <w:b w:val="0"/>
        </w:rPr>
        <w:t>inflame</w:t>
      </w:r>
      <w:r w:rsidR="00FB7C64" w:rsidRPr="00DE33DC">
        <w:rPr>
          <w:rFonts w:asciiTheme="minorHAnsi" w:hAnsiTheme="minorHAnsi" w:cstheme="minorHAnsi"/>
          <w:b w:val="0"/>
        </w:rPr>
        <w:t>s</w:t>
      </w:r>
      <w:r w:rsidRPr="00DE33DC">
        <w:rPr>
          <w:rFonts w:asciiTheme="minorHAnsi" w:hAnsiTheme="minorHAnsi" w:cstheme="minorHAnsi"/>
          <w:b w:val="0"/>
        </w:rPr>
        <w:t xml:space="preserve"> the meaning of what would otherwise be </w:t>
      </w:r>
      <w:r w:rsidR="00A75A87" w:rsidRPr="00DE33DC">
        <w:rPr>
          <w:rFonts w:asciiTheme="minorHAnsi" w:hAnsiTheme="minorHAnsi" w:cstheme="minorHAnsi"/>
          <w:b w:val="0"/>
        </w:rPr>
        <w:t xml:space="preserve">equivocal or </w:t>
      </w:r>
      <w:r w:rsidRPr="00DE33DC">
        <w:rPr>
          <w:rFonts w:asciiTheme="minorHAnsi" w:hAnsiTheme="minorHAnsi" w:cstheme="minorHAnsi"/>
          <w:b w:val="0"/>
        </w:rPr>
        <w:t xml:space="preserve">incidental details. </w:t>
      </w:r>
    </w:p>
    <w:p w14:paraId="4B452604" w14:textId="77777777" w:rsidR="004C07A5" w:rsidRPr="00590B17" w:rsidRDefault="004C07A5" w:rsidP="00590B17">
      <w:pPr>
        <w:spacing w:line="480" w:lineRule="auto"/>
        <w:ind w:firstLine="720"/>
        <w:rPr>
          <w:rFonts w:asciiTheme="minorHAnsi" w:hAnsiTheme="minorHAnsi" w:cstheme="minorHAnsi"/>
          <w:b w:val="0"/>
        </w:rPr>
      </w:pPr>
      <w:r w:rsidRPr="00590B17">
        <w:rPr>
          <w:rFonts w:asciiTheme="minorHAnsi" w:hAnsiTheme="minorHAnsi" w:cstheme="minorHAnsi"/>
          <w:b w:val="0"/>
        </w:rPr>
        <w:t xml:space="preserve">When we refer to someone who brings an allegation of sexual assault as a </w:t>
      </w:r>
      <w:r w:rsidRPr="00590B17">
        <w:rPr>
          <w:rFonts w:asciiTheme="minorHAnsi" w:hAnsiTheme="minorHAnsi" w:cstheme="minorHAnsi"/>
          <w:b w:val="0"/>
          <w:i/>
        </w:rPr>
        <w:t>victim</w:t>
      </w:r>
      <w:r w:rsidR="00431D29" w:rsidRPr="00590B17">
        <w:rPr>
          <w:rFonts w:asciiTheme="minorHAnsi" w:hAnsiTheme="minorHAnsi" w:cstheme="minorHAnsi"/>
          <w:b w:val="0"/>
        </w:rPr>
        <w:t xml:space="preserve"> of sexual assault—as </w:t>
      </w:r>
      <w:r w:rsidRPr="00590B17">
        <w:rPr>
          <w:rFonts w:asciiTheme="minorHAnsi" w:hAnsiTheme="minorHAnsi" w:cstheme="minorHAnsi"/>
          <w:b w:val="0"/>
        </w:rPr>
        <w:t>in the “alw</w:t>
      </w:r>
      <w:r w:rsidR="00431D29" w:rsidRPr="00590B17">
        <w:rPr>
          <w:rFonts w:asciiTheme="minorHAnsi" w:hAnsiTheme="minorHAnsi" w:cstheme="minorHAnsi"/>
          <w:b w:val="0"/>
        </w:rPr>
        <w:t>ays believe the victim” policy—pre</w:t>
      </w:r>
      <w:r w:rsidRPr="00590B17">
        <w:rPr>
          <w:rFonts w:asciiTheme="minorHAnsi" w:hAnsiTheme="minorHAnsi" w:cstheme="minorHAnsi"/>
          <w:b w:val="0"/>
        </w:rPr>
        <w:t>judgm</w:t>
      </w:r>
      <w:r w:rsidR="006126E8">
        <w:rPr>
          <w:rFonts w:asciiTheme="minorHAnsi" w:hAnsiTheme="minorHAnsi" w:cstheme="minorHAnsi"/>
          <w:b w:val="0"/>
        </w:rPr>
        <w:t>ents that influence the weight</w:t>
      </w:r>
      <w:r w:rsidR="00586E15" w:rsidRPr="00590B17">
        <w:rPr>
          <w:rFonts w:asciiTheme="minorHAnsi" w:hAnsiTheme="minorHAnsi" w:cstheme="minorHAnsi"/>
          <w:b w:val="0"/>
        </w:rPr>
        <w:t xml:space="preserve"> and </w:t>
      </w:r>
      <w:r w:rsidR="001E2E37">
        <w:rPr>
          <w:rFonts w:asciiTheme="minorHAnsi" w:hAnsiTheme="minorHAnsi" w:cstheme="minorHAnsi"/>
          <w:b w:val="0"/>
        </w:rPr>
        <w:t>power</w:t>
      </w:r>
      <w:r w:rsidRPr="00590B17">
        <w:rPr>
          <w:rFonts w:asciiTheme="minorHAnsi" w:hAnsiTheme="minorHAnsi" w:cstheme="minorHAnsi"/>
          <w:b w:val="0"/>
        </w:rPr>
        <w:t xml:space="preserve"> of </w:t>
      </w:r>
      <w:r w:rsidR="00431D29" w:rsidRPr="00590B17">
        <w:rPr>
          <w:rFonts w:asciiTheme="minorHAnsi" w:hAnsiTheme="minorHAnsi" w:cstheme="minorHAnsi"/>
          <w:b w:val="0"/>
        </w:rPr>
        <w:t xml:space="preserve">the </w:t>
      </w:r>
      <w:r w:rsidRPr="00590B17">
        <w:rPr>
          <w:rFonts w:asciiTheme="minorHAnsi" w:hAnsiTheme="minorHAnsi" w:cstheme="minorHAnsi"/>
          <w:b w:val="0"/>
        </w:rPr>
        <w:t xml:space="preserve">evidence have already </w:t>
      </w:r>
      <w:r w:rsidR="00FB7522">
        <w:rPr>
          <w:rFonts w:asciiTheme="minorHAnsi" w:hAnsiTheme="minorHAnsi" w:cstheme="minorHAnsi"/>
          <w:b w:val="0"/>
        </w:rPr>
        <w:t>taken</w:t>
      </w:r>
      <w:r w:rsidR="00782E17">
        <w:rPr>
          <w:rFonts w:asciiTheme="minorHAnsi" w:hAnsiTheme="minorHAnsi" w:cstheme="minorHAnsi"/>
          <w:b w:val="0"/>
        </w:rPr>
        <w:t xml:space="preserve"> effect</w:t>
      </w:r>
      <w:r w:rsidR="00A3652E">
        <w:rPr>
          <w:rFonts w:asciiTheme="minorHAnsi" w:hAnsiTheme="minorHAnsi" w:cstheme="minorHAnsi"/>
          <w:b w:val="0"/>
        </w:rPr>
        <w:t>.</w:t>
      </w:r>
    </w:p>
    <w:p w14:paraId="36D0450A" w14:textId="77777777" w:rsidR="000D0320" w:rsidRDefault="000D0320" w:rsidP="00590B17">
      <w:pPr>
        <w:spacing w:line="480" w:lineRule="auto"/>
        <w:ind w:firstLine="720"/>
        <w:rPr>
          <w:rFonts w:asciiTheme="minorHAnsi" w:hAnsiTheme="minorHAnsi" w:cstheme="minorHAnsi"/>
        </w:rPr>
      </w:pPr>
    </w:p>
    <w:p w14:paraId="6EF56573" w14:textId="77777777" w:rsidR="000D0320" w:rsidRDefault="000D0320" w:rsidP="00590B17">
      <w:pPr>
        <w:spacing w:line="480" w:lineRule="auto"/>
        <w:ind w:firstLine="720"/>
        <w:jc w:val="center"/>
        <w:rPr>
          <w:rFonts w:asciiTheme="minorHAnsi" w:hAnsiTheme="minorHAnsi" w:cstheme="minorHAnsi"/>
        </w:rPr>
      </w:pPr>
      <w:r>
        <w:rPr>
          <w:rFonts w:asciiTheme="minorHAnsi" w:hAnsiTheme="minorHAnsi" w:cstheme="minorHAnsi"/>
        </w:rPr>
        <w:t>*</w:t>
      </w:r>
    </w:p>
    <w:p w14:paraId="5741DE4B" w14:textId="77777777" w:rsidR="00673404" w:rsidRDefault="00673404" w:rsidP="00590B17">
      <w:pPr>
        <w:spacing w:line="480" w:lineRule="auto"/>
        <w:rPr>
          <w:rFonts w:asciiTheme="minorHAnsi" w:hAnsiTheme="minorHAnsi" w:cstheme="minorHAnsi"/>
          <w:b w:val="0"/>
        </w:rPr>
      </w:pPr>
    </w:p>
    <w:p w14:paraId="14F9C448" w14:textId="77777777" w:rsidR="006C4B37" w:rsidRPr="00C25251" w:rsidRDefault="006C4B37" w:rsidP="004B0990">
      <w:pPr>
        <w:spacing w:line="480" w:lineRule="auto"/>
        <w:ind w:firstLine="720"/>
        <w:rPr>
          <w:rFonts w:asciiTheme="minorHAnsi" w:hAnsiTheme="minorHAnsi" w:cstheme="minorHAnsi"/>
          <w:b w:val="0"/>
        </w:rPr>
      </w:pPr>
      <w:r w:rsidRPr="00C25251">
        <w:rPr>
          <w:rFonts w:asciiTheme="minorHAnsi" w:hAnsiTheme="minorHAnsi" w:cstheme="minorHAnsi"/>
          <w:b w:val="0"/>
        </w:rPr>
        <w:t xml:space="preserve">Some years before the Jordan Johnson </w:t>
      </w:r>
      <w:r w:rsidR="009A0C6B" w:rsidRPr="00C25251">
        <w:rPr>
          <w:rFonts w:asciiTheme="minorHAnsi" w:hAnsiTheme="minorHAnsi" w:cstheme="minorHAnsi"/>
          <w:b w:val="0"/>
        </w:rPr>
        <w:t>case</w:t>
      </w:r>
      <w:r w:rsidRPr="00C25251">
        <w:rPr>
          <w:rFonts w:asciiTheme="minorHAnsi" w:hAnsiTheme="minorHAnsi" w:cstheme="minorHAnsi"/>
          <w:b w:val="0"/>
        </w:rPr>
        <w:t xml:space="preserve">, I was instrumental in raising </w:t>
      </w:r>
      <w:r w:rsidR="00E208A3">
        <w:rPr>
          <w:rFonts w:asciiTheme="minorHAnsi" w:hAnsiTheme="minorHAnsi" w:cstheme="minorHAnsi"/>
          <w:b w:val="0"/>
        </w:rPr>
        <w:t>the burden of proof</w:t>
      </w:r>
      <w:r w:rsidRPr="00C25251">
        <w:rPr>
          <w:rFonts w:asciiTheme="minorHAnsi" w:hAnsiTheme="minorHAnsi" w:cstheme="minorHAnsi"/>
          <w:b w:val="0"/>
        </w:rPr>
        <w:t xml:space="preserve"> in disciplinary hearings under the UM Student Conduct Code to “clear and convincing evidence,” a standard higher than preponderance but lower than </w:t>
      </w:r>
      <w:r w:rsidR="009A0C6B" w:rsidRPr="00C25251">
        <w:rPr>
          <w:rFonts w:asciiTheme="minorHAnsi" w:hAnsiTheme="minorHAnsi" w:cstheme="minorHAnsi"/>
          <w:b w:val="0"/>
        </w:rPr>
        <w:t xml:space="preserve">the criminal standard of </w:t>
      </w:r>
      <w:r w:rsidR="00CD1883">
        <w:rPr>
          <w:rFonts w:asciiTheme="minorHAnsi" w:hAnsiTheme="minorHAnsi" w:cstheme="minorHAnsi"/>
          <w:b w:val="0"/>
        </w:rPr>
        <w:t xml:space="preserve">guilt </w:t>
      </w:r>
      <w:r w:rsidRPr="00C25251">
        <w:rPr>
          <w:rFonts w:asciiTheme="minorHAnsi" w:hAnsiTheme="minorHAnsi" w:cstheme="minorHAnsi"/>
          <w:b w:val="0"/>
        </w:rPr>
        <w:t>beyond a reasonabl</w:t>
      </w:r>
      <w:r w:rsidR="009A0C6B" w:rsidRPr="00C25251">
        <w:rPr>
          <w:rFonts w:asciiTheme="minorHAnsi" w:hAnsiTheme="minorHAnsi" w:cstheme="minorHAnsi"/>
          <w:b w:val="0"/>
        </w:rPr>
        <w:t>e doubt</w:t>
      </w:r>
      <w:r w:rsidRPr="00C25251">
        <w:rPr>
          <w:rFonts w:asciiTheme="minorHAnsi" w:hAnsiTheme="minorHAnsi" w:cstheme="minorHAnsi"/>
          <w:b w:val="0"/>
        </w:rPr>
        <w:t xml:space="preserve">.  I reasoned that no student should be disciplined, even possibly expelled from the University, on the </w:t>
      </w:r>
      <w:r w:rsidR="00057278">
        <w:rPr>
          <w:rFonts w:asciiTheme="minorHAnsi" w:hAnsiTheme="minorHAnsi" w:cstheme="minorHAnsi"/>
          <w:b w:val="0"/>
        </w:rPr>
        <w:t>strength</w:t>
      </w:r>
      <w:r w:rsidRPr="00C25251">
        <w:rPr>
          <w:rFonts w:asciiTheme="minorHAnsi" w:hAnsiTheme="minorHAnsi" w:cstheme="minorHAnsi"/>
          <w:b w:val="0"/>
        </w:rPr>
        <w:t xml:space="preserve"> of evidence that was unclear and unconvincing.  UM’s then-Legal Counsel agreed, the change was made, an</w:t>
      </w:r>
      <w:r w:rsidR="007300E1" w:rsidRPr="00C25251">
        <w:rPr>
          <w:rFonts w:asciiTheme="minorHAnsi" w:hAnsiTheme="minorHAnsi" w:cstheme="minorHAnsi"/>
          <w:b w:val="0"/>
        </w:rPr>
        <w:t>d there the UM Student Conduct C</w:t>
      </w:r>
      <w:r w:rsidRPr="00C25251">
        <w:rPr>
          <w:rFonts w:asciiTheme="minorHAnsi" w:hAnsiTheme="minorHAnsi" w:cstheme="minorHAnsi"/>
          <w:b w:val="0"/>
        </w:rPr>
        <w:t xml:space="preserve">ode stood until the Obama administration in 2011 ordered the standard of evidence in all such </w:t>
      </w:r>
      <w:r w:rsidRPr="00C25251">
        <w:rPr>
          <w:rFonts w:asciiTheme="minorHAnsi" w:hAnsiTheme="minorHAnsi" w:cstheme="minorHAnsi"/>
          <w:b w:val="0"/>
        </w:rPr>
        <w:lastRenderedPageBreak/>
        <w:t xml:space="preserve">documents </w:t>
      </w:r>
      <w:r w:rsidR="00CD1883">
        <w:rPr>
          <w:rFonts w:asciiTheme="minorHAnsi" w:hAnsiTheme="minorHAnsi" w:cstheme="minorHAnsi"/>
          <w:b w:val="0"/>
        </w:rPr>
        <w:t xml:space="preserve">lowered </w:t>
      </w:r>
      <w:r w:rsidRPr="00C25251">
        <w:rPr>
          <w:rFonts w:asciiTheme="minorHAnsi" w:hAnsiTheme="minorHAnsi" w:cstheme="minorHAnsi"/>
          <w:b w:val="0"/>
        </w:rPr>
        <w:t>to expedite th</w:t>
      </w:r>
      <w:r w:rsidR="009A0C6B" w:rsidRPr="00C25251">
        <w:rPr>
          <w:rFonts w:asciiTheme="minorHAnsi" w:hAnsiTheme="minorHAnsi" w:cstheme="minorHAnsi"/>
          <w:b w:val="0"/>
        </w:rPr>
        <w:t>e prosecution of sexual assault.</w:t>
      </w:r>
      <w:r w:rsidR="007300E1" w:rsidRPr="00C25251">
        <w:rPr>
          <w:rFonts w:asciiTheme="minorHAnsi" w:hAnsiTheme="minorHAnsi" w:cstheme="minorHAnsi"/>
          <w:b w:val="0"/>
        </w:rPr>
        <w:t xml:space="preserve">  When Jordan Johnson appealed his </w:t>
      </w:r>
      <w:r w:rsidR="00635702">
        <w:rPr>
          <w:rFonts w:asciiTheme="minorHAnsi" w:hAnsiTheme="minorHAnsi" w:cstheme="minorHAnsi"/>
          <w:b w:val="0"/>
        </w:rPr>
        <w:t>expulsion from UM</w:t>
      </w:r>
      <w:r w:rsidR="007300E1" w:rsidRPr="00C25251">
        <w:rPr>
          <w:rFonts w:asciiTheme="minorHAnsi" w:hAnsiTheme="minorHAnsi" w:cstheme="minorHAnsi"/>
          <w:b w:val="0"/>
        </w:rPr>
        <w:t xml:space="preserve"> to the Commissioner of Higher Education, Clayton Christian, </w:t>
      </w:r>
      <w:r w:rsidR="00696D54">
        <w:rPr>
          <w:rFonts w:asciiTheme="minorHAnsi" w:hAnsiTheme="minorHAnsi" w:cstheme="minorHAnsi"/>
          <w:b w:val="0"/>
        </w:rPr>
        <w:t xml:space="preserve">in 2012, </w:t>
      </w:r>
      <w:r w:rsidR="007300E1" w:rsidRPr="00C25251">
        <w:rPr>
          <w:rFonts w:asciiTheme="minorHAnsi" w:hAnsiTheme="minorHAnsi" w:cstheme="minorHAnsi"/>
          <w:b w:val="0"/>
        </w:rPr>
        <w:t>the Commissioner reverted to the “clear and convincing evidence</w:t>
      </w:r>
      <w:r w:rsidR="00C25251">
        <w:rPr>
          <w:rFonts w:asciiTheme="minorHAnsi" w:hAnsiTheme="minorHAnsi" w:cstheme="minorHAnsi"/>
          <w:b w:val="0"/>
        </w:rPr>
        <w:t>” standard,</w:t>
      </w:r>
      <w:r w:rsidR="007300E1" w:rsidRPr="00C25251">
        <w:rPr>
          <w:rFonts w:asciiTheme="minorHAnsi" w:hAnsiTheme="minorHAnsi" w:cstheme="minorHAnsi"/>
          <w:b w:val="0"/>
        </w:rPr>
        <w:t xml:space="preserve"> </w:t>
      </w:r>
      <w:r w:rsidR="00CD5B13">
        <w:rPr>
          <w:rFonts w:asciiTheme="minorHAnsi" w:hAnsiTheme="minorHAnsi" w:cstheme="minorHAnsi"/>
          <w:b w:val="0"/>
        </w:rPr>
        <w:t>voided</w:t>
      </w:r>
      <w:r w:rsidR="007300E1" w:rsidRPr="00C25251">
        <w:rPr>
          <w:rFonts w:asciiTheme="minorHAnsi" w:hAnsiTheme="minorHAnsi" w:cstheme="minorHAnsi"/>
          <w:b w:val="0"/>
        </w:rPr>
        <w:t xml:space="preserve"> Johnson’s conviction, and remanded the case to UM, where a new dean of students (</w:t>
      </w:r>
      <w:r w:rsidR="000E61CA" w:rsidRPr="00C25251">
        <w:rPr>
          <w:rFonts w:asciiTheme="minorHAnsi" w:hAnsiTheme="minorHAnsi" w:cstheme="minorHAnsi"/>
          <w:b w:val="0"/>
        </w:rPr>
        <w:t>the original dean</w:t>
      </w:r>
      <w:r w:rsidR="007300E1" w:rsidRPr="00C25251">
        <w:rPr>
          <w:rFonts w:asciiTheme="minorHAnsi" w:hAnsiTheme="minorHAnsi" w:cstheme="minorHAnsi"/>
          <w:b w:val="0"/>
        </w:rPr>
        <w:t xml:space="preserve"> having retired) now determined that “there was not clear and convincing evidence to find that [Johnson] committed sexual misconduct.”  </w:t>
      </w:r>
      <w:r w:rsidR="001F326B" w:rsidRPr="00C25251">
        <w:rPr>
          <w:rFonts w:asciiTheme="minorHAnsi" w:hAnsiTheme="minorHAnsi" w:cstheme="minorHAnsi"/>
          <w:b w:val="0"/>
        </w:rPr>
        <w:t xml:space="preserve">(Krakauer filed a lawsuit against </w:t>
      </w:r>
      <w:r w:rsidR="005F3E20">
        <w:rPr>
          <w:rFonts w:asciiTheme="minorHAnsi" w:hAnsiTheme="minorHAnsi" w:cstheme="minorHAnsi"/>
          <w:b w:val="0"/>
        </w:rPr>
        <w:t>Christian</w:t>
      </w:r>
      <w:r w:rsidR="001F326B" w:rsidRPr="00C25251">
        <w:rPr>
          <w:rFonts w:asciiTheme="minorHAnsi" w:hAnsiTheme="minorHAnsi" w:cstheme="minorHAnsi"/>
          <w:b w:val="0"/>
        </w:rPr>
        <w:t xml:space="preserve"> over the latter’s refusal to release documents pertaining to the Jordan Johnson case </w:t>
      </w:r>
      <w:r w:rsidR="001C73C9">
        <w:rPr>
          <w:rFonts w:asciiTheme="minorHAnsi" w:hAnsiTheme="minorHAnsi" w:cstheme="minorHAnsi"/>
          <w:b w:val="0"/>
        </w:rPr>
        <w:t>on grounds</w:t>
      </w:r>
      <w:r w:rsidR="00B35955" w:rsidRPr="00C25251">
        <w:rPr>
          <w:rFonts w:asciiTheme="minorHAnsi" w:hAnsiTheme="minorHAnsi" w:cstheme="minorHAnsi"/>
          <w:b w:val="0"/>
        </w:rPr>
        <w:t xml:space="preserve"> of privacy</w:t>
      </w:r>
      <w:r w:rsidR="001F326B" w:rsidRPr="00C25251">
        <w:rPr>
          <w:rFonts w:asciiTheme="minorHAnsi" w:hAnsiTheme="minorHAnsi" w:cstheme="minorHAnsi"/>
          <w:b w:val="0"/>
        </w:rPr>
        <w:t xml:space="preserve">.)  </w:t>
      </w:r>
      <w:r w:rsidR="007300E1" w:rsidRPr="00C25251">
        <w:rPr>
          <w:rFonts w:asciiTheme="minorHAnsi" w:hAnsiTheme="minorHAnsi" w:cstheme="minorHAnsi"/>
          <w:b w:val="0"/>
        </w:rPr>
        <w:t xml:space="preserve">Both DOJ and DOE then reprimanded UM for failing to use the preponderance standard as </w:t>
      </w:r>
      <w:r w:rsidR="00057278">
        <w:rPr>
          <w:rFonts w:asciiTheme="minorHAnsi" w:hAnsiTheme="minorHAnsi" w:cstheme="minorHAnsi"/>
          <w:b w:val="0"/>
        </w:rPr>
        <w:t>required</w:t>
      </w:r>
      <w:r w:rsidR="007300E1" w:rsidRPr="00C25251">
        <w:rPr>
          <w:rFonts w:asciiTheme="minorHAnsi" w:hAnsiTheme="minorHAnsi" w:cstheme="minorHAnsi"/>
          <w:b w:val="0"/>
        </w:rPr>
        <w:t>.</w:t>
      </w:r>
      <w:r w:rsidR="001F326B" w:rsidRPr="00C25251">
        <w:rPr>
          <w:rFonts w:asciiTheme="minorHAnsi" w:hAnsiTheme="minorHAnsi" w:cstheme="minorHAnsi"/>
          <w:b w:val="0"/>
        </w:rPr>
        <w:t xml:space="preserve">  In a c</w:t>
      </w:r>
      <w:r w:rsidR="00CD5B13">
        <w:rPr>
          <w:rFonts w:asciiTheme="minorHAnsi" w:hAnsiTheme="minorHAnsi" w:cstheme="minorHAnsi"/>
          <w:b w:val="0"/>
        </w:rPr>
        <w:t>ase like that of Jordan Johnson</w:t>
      </w:r>
      <w:r w:rsidR="001F326B" w:rsidRPr="00C25251">
        <w:rPr>
          <w:rFonts w:asciiTheme="minorHAnsi" w:hAnsiTheme="minorHAnsi" w:cstheme="minorHAnsi"/>
          <w:b w:val="0"/>
        </w:rPr>
        <w:t xml:space="preserve"> where the facts are </w:t>
      </w:r>
      <w:r w:rsidR="00B65FF1" w:rsidRPr="00C25251">
        <w:rPr>
          <w:rFonts w:asciiTheme="minorHAnsi" w:hAnsiTheme="minorHAnsi" w:cstheme="minorHAnsi"/>
          <w:b w:val="0"/>
        </w:rPr>
        <w:t>disputed</w:t>
      </w:r>
      <w:r w:rsidR="001F326B" w:rsidRPr="00C25251">
        <w:rPr>
          <w:rFonts w:asciiTheme="minorHAnsi" w:hAnsiTheme="minorHAnsi" w:cstheme="minorHAnsi"/>
          <w:b w:val="0"/>
        </w:rPr>
        <w:t xml:space="preserve"> and</w:t>
      </w:r>
      <w:r w:rsidR="00CD1883">
        <w:rPr>
          <w:rFonts w:asciiTheme="minorHAnsi" w:hAnsiTheme="minorHAnsi" w:cstheme="minorHAnsi"/>
          <w:b w:val="0"/>
        </w:rPr>
        <w:t xml:space="preserve"> the evidence </w:t>
      </w:r>
      <w:r w:rsidR="00A328B2" w:rsidRPr="00C25251">
        <w:rPr>
          <w:rFonts w:asciiTheme="minorHAnsi" w:hAnsiTheme="minorHAnsi" w:cstheme="minorHAnsi"/>
          <w:b w:val="0"/>
        </w:rPr>
        <w:t>un</w:t>
      </w:r>
      <w:r w:rsidR="001F326B" w:rsidRPr="00C25251">
        <w:rPr>
          <w:rFonts w:asciiTheme="minorHAnsi" w:hAnsiTheme="minorHAnsi" w:cstheme="minorHAnsi"/>
          <w:b w:val="0"/>
        </w:rPr>
        <w:t xml:space="preserve">clear, it’s plain that much </w:t>
      </w:r>
      <w:r w:rsidR="000E61CA" w:rsidRPr="00C25251">
        <w:rPr>
          <w:rFonts w:asciiTheme="minorHAnsi" w:hAnsiTheme="minorHAnsi" w:cstheme="minorHAnsi"/>
          <w:b w:val="0"/>
        </w:rPr>
        <w:t>can depend</w:t>
      </w:r>
      <w:r w:rsidR="001F326B" w:rsidRPr="00C25251">
        <w:rPr>
          <w:rFonts w:asciiTheme="minorHAnsi" w:hAnsiTheme="minorHAnsi" w:cstheme="minorHAnsi"/>
          <w:b w:val="0"/>
        </w:rPr>
        <w:t xml:space="preserve"> on the evidentiary standard in use.</w:t>
      </w:r>
    </w:p>
    <w:p w14:paraId="4CEBBA40" w14:textId="77777777" w:rsidR="004B0990" w:rsidRPr="001F326B" w:rsidRDefault="007300E1" w:rsidP="001F326B">
      <w:pPr>
        <w:spacing w:line="480" w:lineRule="auto"/>
        <w:ind w:firstLine="720"/>
        <w:rPr>
          <w:rFonts w:asciiTheme="minorHAnsi" w:hAnsiTheme="minorHAnsi" w:cstheme="minorHAnsi"/>
        </w:rPr>
      </w:pPr>
      <w:r w:rsidRPr="00C25251">
        <w:rPr>
          <w:rFonts w:asciiTheme="minorHAnsi" w:hAnsiTheme="minorHAnsi" w:cstheme="minorHAnsi"/>
          <w:b w:val="0"/>
        </w:rPr>
        <w:t xml:space="preserve">Mandated specifically to generate more convictions at the </w:t>
      </w:r>
      <w:r w:rsidR="001F326B" w:rsidRPr="00C25251">
        <w:rPr>
          <w:rFonts w:asciiTheme="minorHAnsi" w:hAnsiTheme="minorHAnsi" w:cstheme="minorHAnsi"/>
          <w:b w:val="0"/>
        </w:rPr>
        <w:t xml:space="preserve">campus level for sexual assault, </w:t>
      </w:r>
      <w:r w:rsidR="00B65FF1" w:rsidRPr="00C25251">
        <w:rPr>
          <w:rFonts w:asciiTheme="minorHAnsi" w:hAnsiTheme="minorHAnsi" w:cstheme="minorHAnsi"/>
          <w:b w:val="0"/>
        </w:rPr>
        <w:t xml:space="preserve">the </w:t>
      </w:r>
      <w:r w:rsidR="001F326B" w:rsidRPr="00C25251">
        <w:rPr>
          <w:rFonts w:asciiTheme="minorHAnsi" w:hAnsiTheme="minorHAnsi" w:cstheme="minorHAnsi"/>
          <w:b w:val="0"/>
        </w:rPr>
        <w:t xml:space="preserve">preponderance </w:t>
      </w:r>
      <w:r w:rsidR="00B65FF1" w:rsidRPr="00C25251">
        <w:rPr>
          <w:rFonts w:asciiTheme="minorHAnsi" w:hAnsiTheme="minorHAnsi" w:cstheme="minorHAnsi"/>
          <w:b w:val="0"/>
        </w:rPr>
        <w:t xml:space="preserve">standard </w:t>
      </w:r>
      <w:r w:rsidR="002546AF" w:rsidRPr="00C25251">
        <w:rPr>
          <w:rFonts w:asciiTheme="minorHAnsi" w:hAnsiTheme="minorHAnsi" w:cstheme="minorHAnsi"/>
          <w:b w:val="0"/>
        </w:rPr>
        <w:t xml:space="preserve">represents </w:t>
      </w:r>
      <w:r w:rsidR="004B0990" w:rsidRPr="00C25251">
        <w:rPr>
          <w:rFonts w:asciiTheme="minorHAnsi" w:hAnsiTheme="minorHAnsi" w:cstheme="minorHAnsi"/>
          <w:b w:val="0"/>
        </w:rPr>
        <w:t xml:space="preserve">the lowest </w:t>
      </w:r>
      <w:r w:rsidR="00B65FF1" w:rsidRPr="00C25251">
        <w:rPr>
          <w:rFonts w:asciiTheme="minorHAnsi" w:hAnsiTheme="minorHAnsi" w:cstheme="minorHAnsi"/>
          <w:b w:val="0"/>
        </w:rPr>
        <w:t>evidentiary threshold</w:t>
      </w:r>
      <w:r w:rsidR="004B0990" w:rsidRPr="00C25251">
        <w:rPr>
          <w:rFonts w:asciiTheme="minorHAnsi" w:hAnsiTheme="minorHAnsi" w:cstheme="minorHAnsi"/>
          <w:b w:val="0"/>
        </w:rPr>
        <w:t>, signifying</w:t>
      </w:r>
      <w:r w:rsidR="004B0990" w:rsidRPr="00590B17">
        <w:rPr>
          <w:rFonts w:asciiTheme="minorHAnsi" w:hAnsiTheme="minorHAnsi" w:cstheme="minorHAnsi"/>
          <w:b w:val="0"/>
        </w:rPr>
        <w:t xml:space="preserve"> only that </w:t>
      </w:r>
      <w:r w:rsidR="004B0990">
        <w:rPr>
          <w:rFonts w:asciiTheme="minorHAnsi" w:hAnsiTheme="minorHAnsi" w:cstheme="minorHAnsi"/>
          <w:b w:val="0"/>
        </w:rPr>
        <w:t>it’s</w:t>
      </w:r>
      <w:r w:rsidR="004B0990" w:rsidRPr="00590B17">
        <w:rPr>
          <w:rFonts w:asciiTheme="minorHAnsi" w:hAnsiTheme="minorHAnsi" w:cstheme="minorHAnsi"/>
          <w:b w:val="0"/>
        </w:rPr>
        <w:t xml:space="preserve"> more probable than not that the d</w:t>
      </w:r>
      <w:r w:rsidR="004B0990">
        <w:rPr>
          <w:rFonts w:asciiTheme="minorHAnsi" w:hAnsiTheme="minorHAnsi" w:cstheme="minorHAnsi"/>
          <w:b w:val="0"/>
        </w:rPr>
        <w:t xml:space="preserve">efendant committed the offense.  A dean who took to heart Krakauer’s argument that true allegations of rape vastly outnumber false ones could easily conclude that any allegation of rape that comes before him or her is automatically more likely to be true than </w:t>
      </w:r>
      <w:r w:rsidR="00F42684">
        <w:rPr>
          <w:rFonts w:asciiTheme="minorHAnsi" w:hAnsiTheme="minorHAnsi" w:cstheme="minorHAnsi"/>
          <w:b w:val="0"/>
        </w:rPr>
        <w:t>not</w:t>
      </w:r>
      <w:r w:rsidR="004B0990">
        <w:rPr>
          <w:rFonts w:asciiTheme="minorHAnsi" w:hAnsiTheme="minorHAnsi" w:cstheme="minorHAnsi"/>
          <w:b w:val="0"/>
        </w:rPr>
        <w:t xml:space="preserve">.  </w:t>
      </w:r>
      <w:r w:rsidR="00F42684">
        <w:rPr>
          <w:rFonts w:asciiTheme="minorHAnsi" w:hAnsiTheme="minorHAnsi" w:cstheme="minorHAnsi"/>
          <w:b w:val="0"/>
        </w:rPr>
        <w:t>Maybe</w:t>
      </w:r>
      <w:r w:rsidR="004B0990">
        <w:rPr>
          <w:rFonts w:asciiTheme="minorHAnsi" w:hAnsiTheme="minorHAnsi" w:cstheme="minorHAnsi"/>
          <w:b w:val="0"/>
        </w:rPr>
        <w:t xml:space="preserve"> it was this sort of thinking that led the </w:t>
      </w:r>
      <w:r w:rsidR="001F326B" w:rsidRPr="00B35955">
        <w:rPr>
          <w:rFonts w:asciiTheme="minorHAnsi" w:hAnsiTheme="minorHAnsi" w:cstheme="minorHAnsi"/>
          <w:b w:val="0"/>
        </w:rPr>
        <w:t xml:space="preserve">original </w:t>
      </w:r>
      <w:r w:rsidR="004B0990">
        <w:rPr>
          <w:rFonts w:asciiTheme="minorHAnsi" w:hAnsiTheme="minorHAnsi" w:cstheme="minorHAnsi"/>
          <w:b w:val="0"/>
        </w:rPr>
        <w:t>Dean of Stud</w:t>
      </w:r>
      <w:r w:rsidR="00B40FBA">
        <w:rPr>
          <w:rFonts w:asciiTheme="minorHAnsi" w:hAnsiTheme="minorHAnsi" w:cstheme="minorHAnsi"/>
          <w:b w:val="0"/>
        </w:rPr>
        <w:t>ents to accept evidence in the</w:t>
      </w:r>
      <w:r w:rsidR="004B0990">
        <w:rPr>
          <w:rFonts w:asciiTheme="minorHAnsi" w:hAnsiTheme="minorHAnsi" w:cstheme="minorHAnsi"/>
          <w:b w:val="0"/>
        </w:rPr>
        <w:t xml:space="preserve"> Johnson case whose probative value depends entirely on </w:t>
      </w:r>
      <w:r w:rsidR="00F42684">
        <w:rPr>
          <w:rFonts w:asciiTheme="minorHAnsi" w:hAnsiTheme="minorHAnsi" w:cstheme="minorHAnsi"/>
          <w:b w:val="0"/>
        </w:rPr>
        <w:t>presumption</w:t>
      </w:r>
      <w:r w:rsidR="004B0990">
        <w:rPr>
          <w:rFonts w:asciiTheme="minorHAnsi" w:hAnsiTheme="minorHAnsi" w:cstheme="minorHAnsi"/>
          <w:b w:val="0"/>
        </w:rPr>
        <w:t xml:space="preserve">.  </w:t>
      </w:r>
      <w:r w:rsidR="004B0990" w:rsidRPr="00590B17">
        <w:rPr>
          <w:rFonts w:asciiTheme="minorHAnsi" w:hAnsiTheme="minorHAnsi" w:cstheme="minorHAnsi"/>
          <w:b w:val="0"/>
        </w:rPr>
        <w:t xml:space="preserve">In my </w:t>
      </w:r>
      <w:r w:rsidR="00B5625A">
        <w:rPr>
          <w:rFonts w:asciiTheme="minorHAnsi" w:hAnsiTheme="minorHAnsi" w:cstheme="minorHAnsi"/>
          <w:b w:val="0"/>
        </w:rPr>
        <w:t>estimation</w:t>
      </w:r>
      <w:r w:rsidR="004B0990" w:rsidRPr="00590B17">
        <w:rPr>
          <w:rFonts w:asciiTheme="minorHAnsi" w:hAnsiTheme="minorHAnsi" w:cstheme="minorHAnsi"/>
          <w:b w:val="0"/>
        </w:rPr>
        <w:t xml:space="preserve"> the evidence against Johnson </w:t>
      </w:r>
      <w:r w:rsidR="004B0990">
        <w:rPr>
          <w:rFonts w:asciiTheme="minorHAnsi" w:hAnsiTheme="minorHAnsi" w:cstheme="minorHAnsi"/>
          <w:b w:val="0"/>
        </w:rPr>
        <w:t>cited</w:t>
      </w:r>
      <w:r w:rsidR="004B0990" w:rsidRPr="00590B17">
        <w:rPr>
          <w:rFonts w:asciiTheme="minorHAnsi" w:hAnsiTheme="minorHAnsi" w:cstheme="minorHAnsi"/>
          <w:b w:val="0"/>
        </w:rPr>
        <w:t xml:space="preserve"> by </w:t>
      </w:r>
      <w:r w:rsidR="00BD5D44" w:rsidRPr="00BD5D44">
        <w:rPr>
          <w:rFonts w:asciiTheme="minorHAnsi" w:hAnsiTheme="minorHAnsi" w:cstheme="minorHAnsi"/>
          <w:b w:val="0"/>
        </w:rPr>
        <w:t>the</w:t>
      </w:r>
      <w:r w:rsidR="004B0990" w:rsidRPr="00590B17">
        <w:rPr>
          <w:rFonts w:asciiTheme="minorHAnsi" w:hAnsiTheme="minorHAnsi" w:cstheme="minorHAnsi"/>
          <w:b w:val="0"/>
        </w:rPr>
        <w:t xml:space="preserve"> dean is so </w:t>
      </w:r>
      <w:r w:rsidR="006C46D6">
        <w:rPr>
          <w:rFonts w:asciiTheme="minorHAnsi" w:hAnsiTheme="minorHAnsi" w:cstheme="minorHAnsi"/>
          <w:b w:val="0"/>
        </w:rPr>
        <w:t>flimsy</w:t>
      </w:r>
      <w:r w:rsidR="004B0990" w:rsidRPr="00590B17">
        <w:rPr>
          <w:rFonts w:asciiTheme="minorHAnsi" w:hAnsiTheme="minorHAnsi" w:cstheme="minorHAnsi"/>
          <w:b w:val="0"/>
        </w:rPr>
        <w:t xml:space="preserve"> that it </w:t>
      </w:r>
      <w:r w:rsidR="004B0990">
        <w:rPr>
          <w:rFonts w:asciiTheme="minorHAnsi" w:hAnsiTheme="minorHAnsi" w:cstheme="minorHAnsi"/>
          <w:b w:val="0"/>
        </w:rPr>
        <w:t>fails to</w:t>
      </w:r>
      <w:r w:rsidR="004B0990" w:rsidRPr="00590B17">
        <w:rPr>
          <w:rFonts w:asciiTheme="minorHAnsi" w:hAnsiTheme="minorHAnsi" w:cstheme="minorHAnsi"/>
          <w:b w:val="0"/>
        </w:rPr>
        <w:t xml:space="preserve"> meet even </w:t>
      </w:r>
      <w:r w:rsidR="004B0990">
        <w:rPr>
          <w:rFonts w:asciiTheme="minorHAnsi" w:hAnsiTheme="minorHAnsi" w:cstheme="minorHAnsi"/>
          <w:b w:val="0"/>
        </w:rPr>
        <w:t>the lowest standard</w:t>
      </w:r>
      <w:r w:rsidR="004B0990" w:rsidRPr="00590B17">
        <w:rPr>
          <w:rFonts w:asciiTheme="minorHAnsi" w:hAnsiTheme="minorHAnsi" w:cstheme="minorHAnsi"/>
          <w:b w:val="0"/>
        </w:rPr>
        <w:t xml:space="preserve">.  How then can evidence like this hold up in a courtroom where the burden of proof is set at the highest level known to the law—guilt beyond a reasonable doubt?  </w:t>
      </w:r>
      <w:r w:rsidR="004B0990">
        <w:rPr>
          <w:rFonts w:asciiTheme="minorHAnsi" w:hAnsiTheme="minorHAnsi" w:cstheme="minorHAnsi"/>
          <w:b w:val="0"/>
        </w:rPr>
        <w:t xml:space="preserve"> </w:t>
      </w:r>
    </w:p>
    <w:p w14:paraId="0A54F6A8" w14:textId="77777777" w:rsidR="00FE78DE" w:rsidRDefault="005752B1" w:rsidP="00590B17">
      <w:pPr>
        <w:spacing w:line="480" w:lineRule="auto"/>
        <w:rPr>
          <w:rFonts w:asciiTheme="minorHAnsi" w:hAnsiTheme="minorHAnsi" w:cstheme="minorHAnsi"/>
          <w:b w:val="0"/>
        </w:rPr>
      </w:pPr>
      <w:r>
        <w:rPr>
          <w:rFonts w:asciiTheme="minorHAnsi" w:hAnsiTheme="minorHAnsi" w:cstheme="minorHAnsi"/>
          <w:b w:val="0"/>
        </w:rPr>
        <w:lastRenderedPageBreak/>
        <w:tab/>
      </w:r>
      <w:r w:rsidR="00074CF1">
        <w:rPr>
          <w:rFonts w:asciiTheme="minorHAnsi" w:hAnsiTheme="minorHAnsi" w:cstheme="minorHAnsi"/>
          <w:b w:val="0"/>
        </w:rPr>
        <w:t xml:space="preserve">  </w:t>
      </w:r>
      <w:r w:rsidRPr="00590B17">
        <w:rPr>
          <w:rFonts w:asciiTheme="minorHAnsi" w:hAnsiTheme="minorHAnsi" w:cstheme="minorHAnsi"/>
          <w:b w:val="0"/>
        </w:rPr>
        <w:t xml:space="preserve">The dean’s tribunal was not a court of law.  </w:t>
      </w:r>
      <w:r w:rsidR="00E0065F" w:rsidRPr="00590B17">
        <w:rPr>
          <w:rFonts w:asciiTheme="minorHAnsi" w:hAnsiTheme="minorHAnsi" w:cstheme="minorHAnsi"/>
          <w:b w:val="0"/>
        </w:rPr>
        <w:t>Non-university investigators who</w:t>
      </w:r>
      <w:r w:rsidRPr="00590B17">
        <w:rPr>
          <w:rFonts w:asciiTheme="minorHAnsi" w:hAnsiTheme="minorHAnsi" w:cstheme="minorHAnsi"/>
          <w:b w:val="0"/>
        </w:rPr>
        <w:t xml:space="preserve"> interpret </w:t>
      </w:r>
      <w:r w:rsidR="00DF173C">
        <w:rPr>
          <w:rFonts w:asciiTheme="minorHAnsi" w:hAnsiTheme="minorHAnsi" w:cstheme="minorHAnsi"/>
          <w:b w:val="0"/>
        </w:rPr>
        <w:t>equivocal</w:t>
      </w:r>
      <w:r w:rsidRPr="00590B17">
        <w:rPr>
          <w:rFonts w:asciiTheme="minorHAnsi" w:hAnsiTheme="minorHAnsi" w:cstheme="minorHAnsi"/>
          <w:b w:val="0"/>
        </w:rPr>
        <w:t xml:space="preserve"> evidence as </w:t>
      </w:r>
      <w:r w:rsidR="004B0990">
        <w:rPr>
          <w:rFonts w:asciiTheme="minorHAnsi" w:hAnsiTheme="minorHAnsi" w:cstheme="minorHAnsi"/>
          <w:b w:val="0"/>
        </w:rPr>
        <w:t>highly incriminating</w:t>
      </w:r>
      <w:r w:rsidRPr="00590B17">
        <w:rPr>
          <w:rFonts w:asciiTheme="minorHAnsi" w:hAnsiTheme="minorHAnsi" w:cstheme="minorHAnsi"/>
          <w:b w:val="0"/>
        </w:rPr>
        <w:t xml:space="preserve"> (because they interpret it in the light of a </w:t>
      </w:r>
      <w:r w:rsidR="00E0065F" w:rsidRPr="00590B17">
        <w:rPr>
          <w:rFonts w:asciiTheme="minorHAnsi" w:hAnsiTheme="minorHAnsi" w:cstheme="minorHAnsi"/>
          <w:b w:val="0"/>
        </w:rPr>
        <w:t>compulsory</w:t>
      </w:r>
      <w:r w:rsidR="005A7007" w:rsidRPr="00590B17">
        <w:rPr>
          <w:rFonts w:asciiTheme="minorHAnsi" w:hAnsiTheme="minorHAnsi" w:cstheme="minorHAnsi"/>
          <w:b w:val="0"/>
        </w:rPr>
        <w:t xml:space="preserve"> </w:t>
      </w:r>
      <w:r w:rsidRPr="00590B17">
        <w:rPr>
          <w:rFonts w:asciiTheme="minorHAnsi" w:hAnsiTheme="minorHAnsi" w:cstheme="minorHAnsi"/>
          <w:b w:val="0"/>
        </w:rPr>
        <w:t xml:space="preserve">belief in the guilt of the accused) may find themselves leading the victim down a garden path that </w:t>
      </w:r>
      <w:r w:rsidR="00446E72" w:rsidRPr="00590B17">
        <w:rPr>
          <w:rFonts w:asciiTheme="minorHAnsi" w:hAnsiTheme="minorHAnsi" w:cstheme="minorHAnsi"/>
          <w:b w:val="0"/>
        </w:rPr>
        <w:t>ends</w:t>
      </w:r>
      <w:r w:rsidRPr="00590B17">
        <w:rPr>
          <w:rFonts w:asciiTheme="minorHAnsi" w:hAnsiTheme="minorHAnsi" w:cstheme="minorHAnsi"/>
          <w:b w:val="0"/>
        </w:rPr>
        <w:t xml:space="preserve"> in a court of law.  Again, this is just what happened in the Johnson case, where the jury</w:t>
      </w:r>
      <w:r>
        <w:rPr>
          <w:rFonts w:asciiTheme="minorHAnsi" w:hAnsiTheme="minorHAnsi" w:cstheme="minorHAnsi"/>
          <w:b w:val="0"/>
        </w:rPr>
        <w:t xml:space="preserve"> de</w:t>
      </w:r>
      <w:r w:rsidR="00DF173C">
        <w:rPr>
          <w:rFonts w:asciiTheme="minorHAnsi" w:hAnsiTheme="minorHAnsi" w:cstheme="minorHAnsi"/>
          <w:b w:val="0"/>
        </w:rPr>
        <w:t xml:space="preserve">livered a </w:t>
      </w:r>
      <w:r w:rsidR="007A5677">
        <w:rPr>
          <w:rFonts w:asciiTheme="minorHAnsi" w:hAnsiTheme="minorHAnsi" w:cstheme="minorHAnsi"/>
          <w:b w:val="0"/>
        </w:rPr>
        <w:t xml:space="preserve">swift </w:t>
      </w:r>
      <w:r w:rsidR="00DF173C">
        <w:rPr>
          <w:rFonts w:asciiTheme="minorHAnsi" w:hAnsiTheme="minorHAnsi" w:cstheme="minorHAnsi"/>
          <w:b w:val="0"/>
        </w:rPr>
        <w:t>verdict of Not Guilty</w:t>
      </w:r>
      <w:r>
        <w:rPr>
          <w:rFonts w:asciiTheme="minorHAnsi" w:hAnsiTheme="minorHAnsi" w:cstheme="minorHAnsi"/>
          <w:b w:val="0"/>
        </w:rPr>
        <w:t xml:space="preserve"> in direct opposition to the </w:t>
      </w:r>
      <w:r w:rsidR="00DF173C">
        <w:rPr>
          <w:rFonts w:asciiTheme="minorHAnsi" w:hAnsiTheme="minorHAnsi" w:cstheme="minorHAnsi"/>
          <w:b w:val="0"/>
        </w:rPr>
        <w:t>judgments and prejudgments</w:t>
      </w:r>
      <w:r>
        <w:rPr>
          <w:rFonts w:asciiTheme="minorHAnsi" w:hAnsiTheme="minorHAnsi" w:cstheme="minorHAnsi"/>
          <w:b w:val="0"/>
        </w:rPr>
        <w:t xml:space="preserve"> of </w:t>
      </w:r>
      <w:r w:rsidR="00DF173C">
        <w:rPr>
          <w:rFonts w:asciiTheme="minorHAnsi" w:hAnsiTheme="minorHAnsi" w:cstheme="minorHAnsi"/>
          <w:b w:val="0"/>
        </w:rPr>
        <w:t xml:space="preserve">advocates, </w:t>
      </w:r>
      <w:r>
        <w:rPr>
          <w:rFonts w:asciiTheme="minorHAnsi" w:hAnsiTheme="minorHAnsi" w:cstheme="minorHAnsi"/>
          <w:b w:val="0"/>
        </w:rPr>
        <w:t>sympathetic investigators</w:t>
      </w:r>
      <w:r w:rsidR="00E0065F">
        <w:rPr>
          <w:rFonts w:asciiTheme="minorHAnsi" w:hAnsiTheme="minorHAnsi" w:cstheme="minorHAnsi"/>
          <w:b w:val="0"/>
        </w:rPr>
        <w:t xml:space="preserve"> </w:t>
      </w:r>
      <w:r w:rsidR="00DF173C">
        <w:rPr>
          <w:rFonts w:asciiTheme="minorHAnsi" w:hAnsiTheme="minorHAnsi" w:cstheme="minorHAnsi"/>
          <w:b w:val="0"/>
        </w:rPr>
        <w:t>and</w:t>
      </w:r>
      <w:r w:rsidR="00F95873">
        <w:rPr>
          <w:rFonts w:asciiTheme="minorHAnsi" w:hAnsiTheme="minorHAnsi" w:cstheme="minorHAnsi"/>
          <w:b w:val="0"/>
        </w:rPr>
        <w:t xml:space="preserve"> Jon </w:t>
      </w:r>
      <w:r w:rsidR="00E0065F">
        <w:rPr>
          <w:rFonts w:asciiTheme="minorHAnsi" w:hAnsiTheme="minorHAnsi" w:cstheme="minorHAnsi"/>
          <w:b w:val="0"/>
        </w:rPr>
        <w:t>Krakauer.</w:t>
      </w:r>
    </w:p>
    <w:p w14:paraId="7887307E" w14:textId="77777777" w:rsidR="007A5677" w:rsidRDefault="007A5677" w:rsidP="007A5677">
      <w:pPr>
        <w:spacing w:line="480" w:lineRule="auto"/>
        <w:ind w:firstLine="720"/>
        <w:rPr>
          <w:rFonts w:asciiTheme="minorHAnsi" w:hAnsiTheme="minorHAnsi" w:cstheme="minorHAnsi"/>
          <w:b w:val="0"/>
        </w:rPr>
      </w:pPr>
      <w:r w:rsidRPr="00EE7BC5">
        <w:rPr>
          <w:rFonts w:asciiTheme="minorHAnsi" w:hAnsiTheme="minorHAnsi" w:cstheme="minorHAnsi"/>
          <w:b w:val="0"/>
        </w:rPr>
        <w:t>Press reports as well as Krakauer’s interview with a juror suggest that the jury couldn’t be sure that Cecilia Washburn communicated refusal to Jordan Johnson, as a result of which it acquitted Johnson after only two and a half hours of deliberation.  Paradoxically enough,</w:t>
      </w:r>
      <w:r>
        <w:rPr>
          <w:rFonts w:asciiTheme="minorHAnsi" w:hAnsiTheme="minorHAnsi" w:cstheme="minorHAnsi"/>
          <w:b w:val="0"/>
        </w:rPr>
        <w:t xml:space="preserve"> even Krakauer, who </w:t>
      </w:r>
      <w:r w:rsidR="00EE7BC5">
        <w:rPr>
          <w:rFonts w:asciiTheme="minorHAnsi" w:hAnsiTheme="minorHAnsi" w:cstheme="minorHAnsi"/>
          <w:b w:val="0"/>
        </w:rPr>
        <w:t>views</w:t>
      </w:r>
      <w:r>
        <w:rPr>
          <w:rFonts w:asciiTheme="minorHAnsi" w:hAnsiTheme="minorHAnsi" w:cstheme="minorHAnsi"/>
          <w:b w:val="0"/>
        </w:rPr>
        <w:t xml:space="preserve"> the trial as a travesty of justice, concedes that the evidence put forward by the prosecution was open to reasonable doubt:</w:t>
      </w:r>
    </w:p>
    <w:p w14:paraId="755C4B14" w14:textId="77777777" w:rsidR="00A26FAE" w:rsidRDefault="00A26FAE" w:rsidP="00590B17">
      <w:pPr>
        <w:spacing w:line="480" w:lineRule="auto"/>
        <w:rPr>
          <w:rFonts w:asciiTheme="minorHAnsi" w:hAnsiTheme="minorHAnsi" w:cstheme="minorHAnsi"/>
          <w:b w:val="0"/>
        </w:rPr>
      </w:pPr>
    </w:p>
    <w:p w14:paraId="70B94176" w14:textId="77777777" w:rsidR="00A26FAE" w:rsidRDefault="00A26FAE" w:rsidP="00590B17">
      <w:pPr>
        <w:spacing w:line="480" w:lineRule="auto"/>
        <w:ind w:left="720"/>
        <w:rPr>
          <w:rFonts w:asciiTheme="minorHAnsi" w:hAnsiTheme="minorHAnsi" w:cstheme="minorHAnsi"/>
          <w:b w:val="0"/>
        </w:rPr>
      </w:pPr>
      <w:r>
        <w:rPr>
          <w:rFonts w:asciiTheme="minorHAnsi" w:hAnsiTheme="minorHAnsi" w:cstheme="minorHAnsi"/>
          <w:b w:val="0"/>
        </w:rPr>
        <w:t>Cecilia Washburn was lying, or Jordan Johnson was lying.  Or perhaps both of them were misrepresenting key details of their respective accounts.  There wasn’t enough incontrovertible evidence to prove whose version came closest to the truth, however. . . .  Most of the evidence was subject to con</w:t>
      </w:r>
      <w:r w:rsidR="00590B17">
        <w:rPr>
          <w:rFonts w:asciiTheme="minorHAnsi" w:hAnsiTheme="minorHAnsi" w:cstheme="minorHAnsi"/>
          <w:b w:val="0"/>
        </w:rPr>
        <w:t xml:space="preserve">flicting interpretations. </w:t>
      </w:r>
    </w:p>
    <w:p w14:paraId="0E114E2C" w14:textId="77777777" w:rsidR="00A26FAE" w:rsidRDefault="00A26FAE" w:rsidP="00590B17">
      <w:pPr>
        <w:spacing w:line="480" w:lineRule="auto"/>
        <w:rPr>
          <w:rFonts w:asciiTheme="minorHAnsi" w:hAnsiTheme="minorHAnsi" w:cstheme="minorHAnsi"/>
          <w:b w:val="0"/>
        </w:rPr>
      </w:pPr>
    </w:p>
    <w:p w14:paraId="48F09CAA" w14:textId="77777777" w:rsidR="005261DC" w:rsidRPr="00590B17" w:rsidRDefault="00A26FAE" w:rsidP="00590B17">
      <w:pPr>
        <w:spacing w:line="480" w:lineRule="auto"/>
        <w:rPr>
          <w:rFonts w:asciiTheme="minorHAnsi" w:hAnsiTheme="minorHAnsi" w:cstheme="minorHAnsi"/>
          <w:b w:val="0"/>
        </w:rPr>
      </w:pPr>
      <w:r w:rsidRPr="00590B17">
        <w:rPr>
          <w:rFonts w:asciiTheme="minorHAnsi" w:hAnsiTheme="minorHAnsi" w:cstheme="minorHAnsi"/>
          <w:b w:val="0"/>
        </w:rPr>
        <w:t xml:space="preserve">Given the </w:t>
      </w:r>
      <w:r w:rsidR="00FB7522">
        <w:rPr>
          <w:rFonts w:asciiTheme="minorHAnsi" w:hAnsiTheme="minorHAnsi" w:cstheme="minorHAnsi"/>
          <w:b w:val="0"/>
        </w:rPr>
        <w:t>less than compelling</w:t>
      </w:r>
      <w:r w:rsidRPr="00590B17">
        <w:rPr>
          <w:rFonts w:asciiTheme="minorHAnsi" w:hAnsiTheme="minorHAnsi" w:cstheme="minorHAnsi"/>
          <w:b w:val="0"/>
        </w:rPr>
        <w:t xml:space="preserve"> evidence against the </w:t>
      </w:r>
      <w:r w:rsidR="009068E4">
        <w:rPr>
          <w:rFonts w:asciiTheme="minorHAnsi" w:hAnsiTheme="minorHAnsi" w:cstheme="minorHAnsi"/>
          <w:b w:val="0"/>
        </w:rPr>
        <w:t>accused</w:t>
      </w:r>
      <w:r w:rsidR="003533D1">
        <w:rPr>
          <w:rFonts w:asciiTheme="minorHAnsi" w:hAnsiTheme="minorHAnsi" w:cstheme="minorHAnsi"/>
          <w:b w:val="0"/>
        </w:rPr>
        <w:t xml:space="preserve">, </w:t>
      </w:r>
      <w:r w:rsidRPr="00590B17">
        <w:rPr>
          <w:rFonts w:asciiTheme="minorHAnsi" w:hAnsiTheme="minorHAnsi" w:cstheme="minorHAnsi"/>
          <w:b w:val="0"/>
        </w:rPr>
        <w:t xml:space="preserve">how could the prosecution </w:t>
      </w:r>
      <w:r w:rsidR="00EE0508" w:rsidRPr="00590B17">
        <w:rPr>
          <w:rFonts w:asciiTheme="minorHAnsi" w:hAnsiTheme="minorHAnsi" w:cstheme="minorHAnsi"/>
          <w:b w:val="0"/>
        </w:rPr>
        <w:t xml:space="preserve">team </w:t>
      </w:r>
      <w:r w:rsidRPr="00590B17">
        <w:rPr>
          <w:rFonts w:asciiTheme="minorHAnsi" w:hAnsiTheme="minorHAnsi" w:cstheme="minorHAnsi"/>
          <w:b w:val="0"/>
        </w:rPr>
        <w:t xml:space="preserve">have exposed Cecilia Washburn to the </w:t>
      </w:r>
      <w:r w:rsidR="004B0990">
        <w:rPr>
          <w:rFonts w:asciiTheme="minorHAnsi" w:hAnsiTheme="minorHAnsi" w:cstheme="minorHAnsi"/>
          <w:b w:val="0"/>
        </w:rPr>
        <w:t>distinct</w:t>
      </w:r>
      <w:r w:rsidR="005261DC" w:rsidRPr="00590B17">
        <w:rPr>
          <w:rFonts w:asciiTheme="minorHAnsi" w:hAnsiTheme="minorHAnsi" w:cstheme="minorHAnsi"/>
          <w:b w:val="0"/>
        </w:rPr>
        <w:t xml:space="preserve"> </w:t>
      </w:r>
      <w:r w:rsidRPr="00590B17">
        <w:rPr>
          <w:rFonts w:asciiTheme="minorHAnsi" w:hAnsiTheme="minorHAnsi" w:cstheme="minorHAnsi"/>
          <w:b w:val="0"/>
        </w:rPr>
        <w:t xml:space="preserve">risk of </w:t>
      </w:r>
      <w:r w:rsidR="009068E4">
        <w:rPr>
          <w:rFonts w:asciiTheme="minorHAnsi" w:hAnsiTheme="minorHAnsi" w:cstheme="minorHAnsi"/>
          <w:b w:val="0"/>
        </w:rPr>
        <w:t>a</w:t>
      </w:r>
      <w:r w:rsidR="003533D1">
        <w:rPr>
          <w:rFonts w:asciiTheme="minorHAnsi" w:hAnsiTheme="minorHAnsi" w:cstheme="minorHAnsi"/>
          <w:b w:val="0"/>
        </w:rPr>
        <w:t xml:space="preserve"> </w:t>
      </w:r>
      <w:r w:rsidR="00B40FBA">
        <w:rPr>
          <w:rFonts w:asciiTheme="minorHAnsi" w:hAnsiTheme="minorHAnsi" w:cstheme="minorHAnsi"/>
          <w:b w:val="0"/>
        </w:rPr>
        <w:t>devastating</w:t>
      </w:r>
      <w:r w:rsidR="003533D1">
        <w:rPr>
          <w:rFonts w:asciiTheme="minorHAnsi" w:hAnsiTheme="minorHAnsi" w:cstheme="minorHAnsi"/>
          <w:b w:val="0"/>
        </w:rPr>
        <w:t xml:space="preserve"> public defeat</w:t>
      </w:r>
      <w:r w:rsidRPr="00590B17">
        <w:rPr>
          <w:rFonts w:asciiTheme="minorHAnsi" w:hAnsiTheme="minorHAnsi" w:cstheme="minorHAnsi"/>
          <w:b w:val="0"/>
        </w:rPr>
        <w:t xml:space="preserve">?  </w:t>
      </w:r>
      <w:r w:rsidR="005261DC" w:rsidRPr="00590B17">
        <w:rPr>
          <w:rFonts w:asciiTheme="minorHAnsi" w:hAnsiTheme="minorHAnsi" w:cstheme="minorHAnsi"/>
          <w:b w:val="0"/>
        </w:rPr>
        <w:t xml:space="preserve">I suggest that because </w:t>
      </w:r>
      <w:r w:rsidR="00EE0508" w:rsidRPr="00590B17">
        <w:rPr>
          <w:rFonts w:asciiTheme="minorHAnsi" w:hAnsiTheme="minorHAnsi" w:cstheme="minorHAnsi"/>
          <w:b w:val="0"/>
        </w:rPr>
        <w:t>they</w:t>
      </w:r>
      <w:r w:rsidR="005261DC" w:rsidRPr="00590B17">
        <w:rPr>
          <w:rFonts w:asciiTheme="minorHAnsi" w:hAnsiTheme="minorHAnsi" w:cstheme="minorHAnsi"/>
          <w:b w:val="0"/>
        </w:rPr>
        <w:t xml:space="preserve">, like the dean and the victim’s advocates, </w:t>
      </w:r>
      <w:r w:rsidR="005261DC" w:rsidRPr="00590B17">
        <w:rPr>
          <w:rFonts w:asciiTheme="minorHAnsi" w:hAnsiTheme="minorHAnsi" w:cstheme="minorHAnsi"/>
          <w:b w:val="0"/>
          <w:i/>
        </w:rPr>
        <w:t xml:space="preserve">believed </w:t>
      </w:r>
      <w:r w:rsidR="005261DC" w:rsidRPr="00590B17">
        <w:rPr>
          <w:rFonts w:asciiTheme="minorHAnsi" w:hAnsiTheme="minorHAnsi" w:cstheme="minorHAnsi"/>
          <w:b w:val="0"/>
        </w:rPr>
        <w:t xml:space="preserve">Cecilia Washburn (with </w:t>
      </w:r>
      <w:r w:rsidR="00FB7C64" w:rsidRPr="00590B17">
        <w:rPr>
          <w:rFonts w:asciiTheme="minorHAnsi" w:hAnsiTheme="minorHAnsi" w:cstheme="minorHAnsi"/>
          <w:b w:val="0"/>
        </w:rPr>
        <w:t xml:space="preserve">all this </w:t>
      </w:r>
      <w:r w:rsidR="00DD4529" w:rsidRPr="00590B17">
        <w:rPr>
          <w:rFonts w:asciiTheme="minorHAnsi" w:hAnsiTheme="minorHAnsi" w:cstheme="minorHAnsi"/>
          <w:b w:val="0"/>
        </w:rPr>
        <w:t xml:space="preserve">credence </w:t>
      </w:r>
      <w:r w:rsidR="00FB7C64" w:rsidRPr="00590B17">
        <w:rPr>
          <w:rFonts w:asciiTheme="minorHAnsi" w:hAnsiTheme="minorHAnsi" w:cstheme="minorHAnsi"/>
          <w:b w:val="0"/>
        </w:rPr>
        <w:t xml:space="preserve">creating an </w:t>
      </w:r>
      <w:r w:rsidR="005261DC" w:rsidRPr="00590B17">
        <w:rPr>
          <w:rFonts w:asciiTheme="minorHAnsi" w:hAnsiTheme="minorHAnsi" w:cstheme="minorHAnsi"/>
          <w:b w:val="0"/>
        </w:rPr>
        <w:t xml:space="preserve">effect of mutual reinforcement), evidence that was </w:t>
      </w:r>
      <w:r w:rsidR="00DD4529" w:rsidRPr="00590B17">
        <w:rPr>
          <w:rFonts w:asciiTheme="minorHAnsi" w:hAnsiTheme="minorHAnsi" w:cstheme="minorHAnsi"/>
          <w:b w:val="0"/>
        </w:rPr>
        <w:t>obviously</w:t>
      </w:r>
      <w:r w:rsidR="00C674E5" w:rsidRPr="00590B17">
        <w:rPr>
          <w:rFonts w:asciiTheme="minorHAnsi" w:hAnsiTheme="minorHAnsi" w:cstheme="minorHAnsi"/>
          <w:b w:val="0"/>
        </w:rPr>
        <w:t xml:space="preserve"> </w:t>
      </w:r>
      <w:r w:rsidR="005261DC" w:rsidRPr="00590B17">
        <w:rPr>
          <w:rFonts w:asciiTheme="minorHAnsi" w:hAnsiTheme="minorHAnsi" w:cstheme="minorHAnsi"/>
          <w:b w:val="0"/>
        </w:rPr>
        <w:t xml:space="preserve">“subject </w:t>
      </w:r>
      <w:r w:rsidR="005261DC" w:rsidRPr="00590B17">
        <w:rPr>
          <w:rFonts w:asciiTheme="minorHAnsi" w:hAnsiTheme="minorHAnsi" w:cstheme="minorHAnsi"/>
          <w:b w:val="0"/>
        </w:rPr>
        <w:lastRenderedPageBreak/>
        <w:t xml:space="preserve">to conflicting interpretations” seemed to them </w:t>
      </w:r>
      <w:r w:rsidR="00FB7C64" w:rsidRPr="00590B17">
        <w:rPr>
          <w:rFonts w:asciiTheme="minorHAnsi" w:hAnsiTheme="minorHAnsi" w:cstheme="minorHAnsi"/>
          <w:b w:val="0"/>
        </w:rPr>
        <w:t>indisputable</w:t>
      </w:r>
      <w:r w:rsidR="005261DC" w:rsidRPr="00590B17">
        <w:rPr>
          <w:rFonts w:asciiTheme="minorHAnsi" w:hAnsiTheme="minorHAnsi" w:cstheme="minorHAnsi"/>
          <w:b w:val="0"/>
        </w:rPr>
        <w:t xml:space="preserve"> enough to withstand the </w:t>
      </w:r>
      <w:r w:rsidR="00C674E5" w:rsidRPr="00590B17">
        <w:rPr>
          <w:rFonts w:asciiTheme="minorHAnsi" w:hAnsiTheme="minorHAnsi" w:cstheme="minorHAnsi"/>
          <w:b w:val="0"/>
        </w:rPr>
        <w:t>fray</w:t>
      </w:r>
      <w:r w:rsidR="005261DC" w:rsidRPr="00590B17">
        <w:rPr>
          <w:rFonts w:asciiTheme="minorHAnsi" w:hAnsiTheme="minorHAnsi" w:cstheme="minorHAnsi"/>
          <w:b w:val="0"/>
        </w:rPr>
        <w:t xml:space="preserve"> of the courtroom.</w:t>
      </w:r>
      <w:r w:rsidR="00EE0508" w:rsidRPr="00590B17">
        <w:rPr>
          <w:rFonts w:asciiTheme="minorHAnsi" w:hAnsiTheme="minorHAnsi" w:cstheme="minorHAnsi"/>
          <w:b w:val="0"/>
        </w:rPr>
        <w:t xml:space="preserve">  It was not.</w:t>
      </w:r>
    </w:p>
    <w:p w14:paraId="51B705D1" w14:textId="77777777" w:rsidR="007F1273" w:rsidRDefault="00C033C9" w:rsidP="00590B17">
      <w:pPr>
        <w:spacing w:line="480" w:lineRule="auto"/>
        <w:rPr>
          <w:rFonts w:asciiTheme="minorHAnsi" w:hAnsiTheme="minorHAnsi" w:cstheme="minorHAnsi"/>
          <w:b w:val="0"/>
        </w:rPr>
      </w:pPr>
      <w:r>
        <w:rPr>
          <w:rFonts w:asciiTheme="minorHAnsi" w:hAnsiTheme="minorHAnsi" w:cstheme="minorHAnsi"/>
          <w:b w:val="0"/>
        </w:rPr>
        <w:tab/>
      </w:r>
      <w:r w:rsidR="004B42C0">
        <w:rPr>
          <w:rFonts w:asciiTheme="minorHAnsi" w:hAnsiTheme="minorHAnsi" w:cstheme="minorHAnsi"/>
          <w:b w:val="0"/>
        </w:rPr>
        <w:t xml:space="preserve">According to Krakauer, a police investigation of a </w:t>
      </w:r>
      <w:r w:rsidR="00950701">
        <w:rPr>
          <w:rFonts w:asciiTheme="minorHAnsi" w:hAnsiTheme="minorHAnsi" w:cstheme="minorHAnsi"/>
          <w:b w:val="0"/>
        </w:rPr>
        <w:t>report</w:t>
      </w:r>
      <w:r w:rsidR="004B42C0">
        <w:rPr>
          <w:rFonts w:asciiTheme="minorHAnsi" w:hAnsiTheme="minorHAnsi" w:cstheme="minorHAnsi"/>
          <w:b w:val="0"/>
        </w:rPr>
        <w:t xml:space="preserve"> of rape should always “begi</w:t>
      </w:r>
      <w:r w:rsidR="00590B17">
        <w:rPr>
          <w:rFonts w:asciiTheme="minorHAnsi" w:hAnsiTheme="minorHAnsi" w:cstheme="minorHAnsi"/>
          <w:b w:val="0"/>
        </w:rPr>
        <w:t>n by believing the victim</w:t>
      </w:r>
      <w:r w:rsidR="004B42C0">
        <w:rPr>
          <w:rFonts w:asciiTheme="minorHAnsi" w:hAnsiTheme="minorHAnsi" w:cstheme="minorHAnsi"/>
          <w:b w:val="0"/>
        </w:rPr>
        <w:t>.</w:t>
      </w:r>
      <w:r w:rsidR="00590B17">
        <w:rPr>
          <w:rFonts w:asciiTheme="minorHAnsi" w:hAnsiTheme="minorHAnsi" w:cstheme="minorHAnsi"/>
          <w:b w:val="0"/>
        </w:rPr>
        <w:t>”</w:t>
      </w:r>
      <w:r w:rsidR="004B42C0">
        <w:rPr>
          <w:rFonts w:asciiTheme="minorHAnsi" w:hAnsiTheme="minorHAnsi" w:cstheme="minorHAnsi"/>
          <w:b w:val="0"/>
        </w:rPr>
        <w:t xml:space="preserve">  However, once belief is invested, </w:t>
      </w:r>
      <w:r w:rsidR="00C45829">
        <w:rPr>
          <w:rFonts w:asciiTheme="minorHAnsi" w:hAnsiTheme="minorHAnsi" w:cstheme="minorHAnsi"/>
          <w:b w:val="0"/>
        </w:rPr>
        <w:t xml:space="preserve">evidence can look </w:t>
      </w:r>
      <w:r w:rsidR="004B0990">
        <w:rPr>
          <w:rFonts w:asciiTheme="minorHAnsi" w:hAnsiTheme="minorHAnsi" w:cstheme="minorHAnsi"/>
          <w:b w:val="0"/>
        </w:rPr>
        <w:t xml:space="preserve">a lot </w:t>
      </w:r>
      <w:r w:rsidR="003533D1">
        <w:rPr>
          <w:rFonts w:asciiTheme="minorHAnsi" w:hAnsiTheme="minorHAnsi" w:cstheme="minorHAnsi"/>
          <w:b w:val="0"/>
        </w:rPr>
        <w:t>stronger</w:t>
      </w:r>
      <w:r w:rsidR="00C45829">
        <w:rPr>
          <w:rFonts w:asciiTheme="minorHAnsi" w:hAnsiTheme="minorHAnsi" w:cstheme="minorHAnsi"/>
          <w:b w:val="0"/>
        </w:rPr>
        <w:t xml:space="preserve"> </w:t>
      </w:r>
      <w:r w:rsidR="00977624">
        <w:rPr>
          <w:rFonts w:asciiTheme="minorHAnsi" w:hAnsiTheme="minorHAnsi" w:cstheme="minorHAnsi"/>
          <w:b w:val="0"/>
        </w:rPr>
        <w:t xml:space="preserve">than it actually is, </w:t>
      </w:r>
      <w:r w:rsidR="00C45829">
        <w:rPr>
          <w:rFonts w:asciiTheme="minorHAnsi" w:hAnsiTheme="minorHAnsi" w:cstheme="minorHAnsi"/>
          <w:b w:val="0"/>
        </w:rPr>
        <w:t>as in UM’s adjudica</w:t>
      </w:r>
      <w:r w:rsidR="00977624">
        <w:rPr>
          <w:rFonts w:asciiTheme="minorHAnsi" w:hAnsiTheme="minorHAnsi" w:cstheme="minorHAnsi"/>
          <w:b w:val="0"/>
        </w:rPr>
        <w:t>tion of the Jordan Johnson case</w:t>
      </w:r>
      <w:r w:rsidR="00C45829">
        <w:rPr>
          <w:rFonts w:asciiTheme="minorHAnsi" w:hAnsiTheme="minorHAnsi" w:cstheme="minorHAnsi"/>
          <w:b w:val="0"/>
        </w:rPr>
        <w:t xml:space="preserve">.  Once belief is invested, a case can </w:t>
      </w:r>
      <w:r w:rsidR="00E2759D">
        <w:rPr>
          <w:rFonts w:asciiTheme="minorHAnsi" w:hAnsiTheme="minorHAnsi" w:cstheme="minorHAnsi"/>
          <w:b w:val="0"/>
        </w:rPr>
        <w:t xml:space="preserve">even </w:t>
      </w:r>
      <w:r w:rsidR="00C45829">
        <w:rPr>
          <w:rFonts w:asciiTheme="minorHAnsi" w:hAnsiTheme="minorHAnsi" w:cstheme="minorHAnsi"/>
          <w:b w:val="0"/>
        </w:rPr>
        <w:t xml:space="preserve">become a sort of </w:t>
      </w:r>
      <w:r w:rsidR="00615DD1">
        <w:rPr>
          <w:rFonts w:asciiTheme="minorHAnsi" w:hAnsiTheme="minorHAnsi" w:cstheme="minorHAnsi"/>
          <w:b w:val="0"/>
        </w:rPr>
        <w:t>metaphysical</w:t>
      </w:r>
      <w:r w:rsidR="00C45829">
        <w:rPr>
          <w:rFonts w:asciiTheme="minorHAnsi" w:hAnsiTheme="minorHAnsi" w:cstheme="minorHAnsi"/>
          <w:b w:val="0"/>
        </w:rPr>
        <w:t xml:space="preserve"> drama, which is why the question of compelled belief </w:t>
      </w:r>
      <w:r w:rsidR="00977624">
        <w:rPr>
          <w:rFonts w:asciiTheme="minorHAnsi" w:hAnsiTheme="minorHAnsi" w:cstheme="minorHAnsi"/>
          <w:b w:val="0"/>
        </w:rPr>
        <w:t>leads</w:t>
      </w:r>
      <w:r w:rsidR="00C45829">
        <w:rPr>
          <w:rFonts w:asciiTheme="minorHAnsi" w:hAnsiTheme="minorHAnsi" w:cstheme="minorHAnsi"/>
          <w:b w:val="0"/>
        </w:rPr>
        <w:t xml:space="preserve"> back to the 17</w:t>
      </w:r>
      <w:r w:rsidR="00C45829" w:rsidRPr="00C45829">
        <w:rPr>
          <w:rFonts w:asciiTheme="minorHAnsi" w:hAnsiTheme="minorHAnsi" w:cstheme="minorHAnsi"/>
          <w:b w:val="0"/>
          <w:vertAlign w:val="superscript"/>
        </w:rPr>
        <w:t>th</w:t>
      </w:r>
      <w:r w:rsidR="00C45829">
        <w:rPr>
          <w:rFonts w:asciiTheme="minorHAnsi" w:hAnsiTheme="minorHAnsi" w:cstheme="minorHAnsi"/>
          <w:b w:val="0"/>
        </w:rPr>
        <w:t xml:space="preserve"> century wars of religion, and why </w:t>
      </w:r>
      <w:r w:rsidR="00977624">
        <w:rPr>
          <w:rFonts w:asciiTheme="minorHAnsi" w:hAnsiTheme="minorHAnsi" w:cstheme="minorHAnsi"/>
          <w:b w:val="0"/>
        </w:rPr>
        <w:t xml:space="preserve">Krakauer’s advocacy </w:t>
      </w:r>
      <w:r w:rsidR="0013448C">
        <w:rPr>
          <w:rFonts w:asciiTheme="minorHAnsi" w:hAnsiTheme="minorHAnsi" w:cstheme="minorHAnsi"/>
          <w:b w:val="0"/>
        </w:rPr>
        <w:t>has</w:t>
      </w:r>
      <w:r w:rsidR="00977624">
        <w:rPr>
          <w:rFonts w:asciiTheme="minorHAnsi" w:hAnsiTheme="minorHAnsi" w:cstheme="minorHAnsi"/>
          <w:b w:val="0"/>
        </w:rPr>
        <w:t xml:space="preserve"> the tone of a crusade.  In the courtroom, however, no one can claim </w:t>
      </w:r>
      <w:r w:rsidR="00CF6BA0">
        <w:rPr>
          <w:rFonts w:asciiTheme="minorHAnsi" w:hAnsiTheme="minorHAnsi" w:cstheme="minorHAnsi"/>
          <w:b w:val="0"/>
        </w:rPr>
        <w:t>a</w:t>
      </w:r>
      <w:r w:rsidR="00977624">
        <w:rPr>
          <w:rFonts w:asciiTheme="minorHAnsi" w:hAnsiTheme="minorHAnsi" w:cstheme="minorHAnsi"/>
          <w:b w:val="0"/>
        </w:rPr>
        <w:t xml:space="preserve"> right to be believed.  No wonder Krakauer gives the </w:t>
      </w:r>
      <w:r w:rsidR="00DC18BA">
        <w:rPr>
          <w:rFonts w:asciiTheme="minorHAnsi" w:hAnsiTheme="minorHAnsi" w:cstheme="minorHAnsi"/>
          <w:b w:val="0"/>
        </w:rPr>
        <w:t xml:space="preserve">distinct </w:t>
      </w:r>
      <w:r w:rsidR="00977624">
        <w:rPr>
          <w:rFonts w:asciiTheme="minorHAnsi" w:hAnsiTheme="minorHAnsi" w:cstheme="minorHAnsi"/>
          <w:b w:val="0"/>
        </w:rPr>
        <w:t xml:space="preserve">impression that he </w:t>
      </w:r>
      <w:r w:rsidR="00DC38D6">
        <w:rPr>
          <w:rFonts w:asciiTheme="minorHAnsi" w:hAnsiTheme="minorHAnsi" w:cstheme="minorHAnsi"/>
          <w:b w:val="0"/>
        </w:rPr>
        <w:t xml:space="preserve">detests the open skepticism to which Cecilia Washburn was </w:t>
      </w:r>
      <w:r w:rsidR="00DF173C">
        <w:rPr>
          <w:rFonts w:asciiTheme="minorHAnsi" w:hAnsiTheme="minorHAnsi" w:cstheme="minorHAnsi"/>
          <w:b w:val="0"/>
        </w:rPr>
        <w:t>subjected</w:t>
      </w:r>
      <w:r w:rsidR="004B0990">
        <w:rPr>
          <w:rFonts w:asciiTheme="minorHAnsi" w:hAnsiTheme="minorHAnsi" w:cstheme="minorHAnsi"/>
          <w:b w:val="0"/>
        </w:rPr>
        <w:t xml:space="preserve"> in court</w:t>
      </w:r>
      <w:r w:rsidR="007F1273">
        <w:rPr>
          <w:rFonts w:asciiTheme="minorHAnsi" w:hAnsiTheme="minorHAnsi" w:cstheme="minorHAnsi"/>
          <w:b w:val="0"/>
        </w:rPr>
        <w:t xml:space="preserve">, and, beyond this, that he </w:t>
      </w:r>
      <w:r w:rsidR="00E2759D">
        <w:rPr>
          <w:rFonts w:asciiTheme="minorHAnsi" w:hAnsiTheme="minorHAnsi" w:cstheme="minorHAnsi"/>
          <w:b w:val="0"/>
        </w:rPr>
        <w:t>detests</w:t>
      </w:r>
      <w:r w:rsidR="007F1273">
        <w:rPr>
          <w:rFonts w:asciiTheme="minorHAnsi" w:hAnsiTheme="minorHAnsi" w:cstheme="minorHAnsi"/>
          <w:b w:val="0"/>
        </w:rPr>
        <w:t xml:space="preserve"> the adversarial system of justi</w:t>
      </w:r>
      <w:r w:rsidR="00590B17">
        <w:rPr>
          <w:rFonts w:asciiTheme="minorHAnsi" w:hAnsiTheme="minorHAnsi" w:cstheme="minorHAnsi"/>
          <w:b w:val="0"/>
        </w:rPr>
        <w:t>ce itself.</w:t>
      </w:r>
      <w:r w:rsidR="007F1273">
        <w:rPr>
          <w:rFonts w:asciiTheme="minorHAnsi" w:hAnsiTheme="minorHAnsi" w:cstheme="minorHAnsi"/>
          <w:b w:val="0"/>
        </w:rPr>
        <w:t xml:space="preserve"> </w:t>
      </w:r>
    </w:p>
    <w:p w14:paraId="7566F784" w14:textId="32CC58FE" w:rsidR="00596AC2" w:rsidRPr="002006C3" w:rsidRDefault="007F1273" w:rsidP="00590B17">
      <w:pPr>
        <w:spacing w:line="480" w:lineRule="auto"/>
        <w:rPr>
          <w:rFonts w:asciiTheme="minorHAnsi" w:hAnsiTheme="minorHAnsi" w:cstheme="minorHAnsi"/>
          <w:b w:val="0"/>
        </w:rPr>
      </w:pPr>
      <w:r>
        <w:rPr>
          <w:rFonts w:asciiTheme="minorHAnsi" w:hAnsiTheme="minorHAnsi" w:cstheme="minorHAnsi"/>
          <w:b w:val="0"/>
        </w:rPr>
        <w:tab/>
      </w:r>
      <w:r w:rsidR="00EC3EA9">
        <w:rPr>
          <w:rFonts w:asciiTheme="minorHAnsi" w:hAnsiTheme="minorHAnsi" w:cstheme="minorHAnsi"/>
          <w:b w:val="0"/>
        </w:rPr>
        <w:t xml:space="preserve">For now, we have a system in which the defense and prosecution clash, defendants </w:t>
      </w:r>
      <w:r w:rsidR="00446E72">
        <w:rPr>
          <w:rFonts w:asciiTheme="minorHAnsi" w:hAnsiTheme="minorHAnsi" w:cstheme="minorHAnsi"/>
          <w:b w:val="0"/>
        </w:rPr>
        <w:t>are to be presumed innocent</w:t>
      </w:r>
      <w:r w:rsidR="00EC3EA9">
        <w:rPr>
          <w:rFonts w:asciiTheme="minorHAnsi" w:hAnsiTheme="minorHAnsi" w:cstheme="minorHAnsi"/>
          <w:b w:val="0"/>
        </w:rPr>
        <w:t xml:space="preserve">, and evidence must meet a high standard in order to convict.  This being so, a woman who claims to have been sexually assaulted may be ill served by receiving </w:t>
      </w:r>
      <w:r w:rsidR="00446E72">
        <w:rPr>
          <w:rFonts w:asciiTheme="minorHAnsi" w:hAnsiTheme="minorHAnsi" w:cstheme="minorHAnsi"/>
          <w:b w:val="0"/>
        </w:rPr>
        <w:t xml:space="preserve">from investigators </w:t>
      </w:r>
      <w:r w:rsidR="00EC3EA9">
        <w:rPr>
          <w:rFonts w:asciiTheme="minorHAnsi" w:hAnsiTheme="minorHAnsi" w:cstheme="minorHAnsi"/>
          <w:b w:val="0"/>
        </w:rPr>
        <w:t xml:space="preserve">the automatic </w:t>
      </w:r>
      <w:r w:rsidR="000107AD">
        <w:rPr>
          <w:rFonts w:asciiTheme="minorHAnsi" w:hAnsiTheme="minorHAnsi" w:cstheme="minorHAnsi"/>
          <w:b w:val="0"/>
        </w:rPr>
        <w:t xml:space="preserve">credence </w:t>
      </w:r>
      <w:r w:rsidR="00EC3EA9">
        <w:rPr>
          <w:rFonts w:asciiTheme="minorHAnsi" w:hAnsiTheme="minorHAnsi" w:cstheme="minorHAnsi"/>
          <w:b w:val="0"/>
        </w:rPr>
        <w:t xml:space="preserve">she </w:t>
      </w:r>
      <w:r w:rsidR="00446E72">
        <w:rPr>
          <w:rFonts w:asciiTheme="minorHAnsi" w:hAnsiTheme="minorHAnsi" w:cstheme="minorHAnsi"/>
          <w:b w:val="0"/>
        </w:rPr>
        <w:t xml:space="preserve">will </w:t>
      </w:r>
      <w:r w:rsidR="00EC3EA9">
        <w:rPr>
          <w:rFonts w:asciiTheme="minorHAnsi" w:hAnsiTheme="minorHAnsi" w:cstheme="minorHAnsi"/>
          <w:b w:val="0"/>
        </w:rPr>
        <w:t xml:space="preserve">not receive </w:t>
      </w:r>
      <w:r w:rsidR="00DF173C">
        <w:rPr>
          <w:rFonts w:asciiTheme="minorHAnsi" w:hAnsiTheme="minorHAnsi" w:cstheme="minorHAnsi"/>
          <w:b w:val="0"/>
        </w:rPr>
        <w:t xml:space="preserve">if her case </w:t>
      </w:r>
      <w:r w:rsidR="0013448C">
        <w:rPr>
          <w:rFonts w:asciiTheme="minorHAnsi" w:hAnsiTheme="minorHAnsi" w:cstheme="minorHAnsi"/>
          <w:b w:val="0"/>
        </w:rPr>
        <w:t>goes to</w:t>
      </w:r>
      <w:r w:rsidR="00DF173C">
        <w:rPr>
          <w:rFonts w:asciiTheme="minorHAnsi" w:hAnsiTheme="minorHAnsi" w:cstheme="minorHAnsi"/>
          <w:b w:val="0"/>
        </w:rPr>
        <w:t xml:space="preserve"> court</w:t>
      </w:r>
      <w:r w:rsidR="00EC3EA9">
        <w:rPr>
          <w:rFonts w:asciiTheme="minorHAnsi" w:hAnsiTheme="minorHAnsi" w:cstheme="minorHAnsi"/>
          <w:b w:val="0"/>
        </w:rPr>
        <w:t xml:space="preserve">.  </w:t>
      </w:r>
      <w:r w:rsidR="009105A0">
        <w:rPr>
          <w:rFonts w:asciiTheme="minorHAnsi" w:hAnsiTheme="minorHAnsi" w:cstheme="minorHAnsi"/>
          <w:b w:val="0"/>
        </w:rPr>
        <w:t>Let</w:t>
      </w:r>
      <w:r w:rsidR="00EC3EA9">
        <w:rPr>
          <w:rFonts w:asciiTheme="minorHAnsi" w:hAnsiTheme="minorHAnsi" w:cstheme="minorHAnsi"/>
          <w:b w:val="0"/>
        </w:rPr>
        <w:t xml:space="preserve"> the story of Cecilia Washburn </w:t>
      </w:r>
      <w:r w:rsidR="0061369A">
        <w:rPr>
          <w:rFonts w:asciiTheme="minorHAnsi" w:hAnsiTheme="minorHAnsi" w:cstheme="minorHAnsi"/>
          <w:b w:val="0"/>
        </w:rPr>
        <w:t>serve</w:t>
      </w:r>
      <w:r w:rsidR="00EC3EA9">
        <w:rPr>
          <w:rFonts w:asciiTheme="minorHAnsi" w:hAnsiTheme="minorHAnsi" w:cstheme="minorHAnsi"/>
          <w:b w:val="0"/>
        </w:rPr>
        <w:t xml:space="preserve"> as a cautionary example. </w:t>
      </w:r>
    </w:p>
    <w:sectPr w:rsidR="00596AC2" w:rsidRPr="002006C3" w:rsidSect="000B268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A7A0" w14:textId="77777777" w:rsidR="00EF27F5" w:rsidRDefault="00EF27F5" w:rsidP="004F7EC1">
      <w:r>
        <w:separator/>
      </w:r>
    </w:p>
  </w:endnote>
  <w:endnote w:type="continuationSeparator" w:id="0">
    <w:p w14:paraId="0AFAD355" w14:textId="77777777" w:rsidR="00EF27F5" w:rsidRDefault="00EF27F5" w:rsidP="004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25937227"/>
      <w:docPartObj>
        <w:docPartGallery w:val="Page Numbers (Bottom of Page)"/>
        <w:docPartUnique/>
      </w:docPartObj>
    </w:sdtPr>
    <w:sdtContent>
      <w:p w14:paraId="41711401" w14:textId="77777777" w:rsidR="004F7EC1" w:rsidRDefault="004F7EC1" w:rsidP="00E93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193B23" w14:textId="77777777" w:rsidR="004F7EC1" w:rsidRDefault="004F7EC1" w:rsidP="004F7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4422920"/>
      <w:docPartObj>
        <w:docPartGallery w:val="Page Numbers (Bottom of Page)"/>
        <w:docPartUnique/>
      </w:docPartObj>
    </w:sdtPr>
    <w:sdtContent>
      <w:p w14:paraId="528970EE" w14:textId="77777777" w:rsidR="004F7EC1" w:rsidRDefault="004F7EC1" w:rsidP="00E93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BE4814" w14:textId="77777777" w:rsidR="004F7EC1" w:rsidRDefault="004F7EC1" w:rsidP="004F7E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4E17B" w14:textId="77777777" w:rsidR="00EF27F5" w:rsidRDefault="00EF27F5" w:rsidP="004F7EC1">
      <w:r>
        <w:separator/>
      </w:r>
    </w:p>
  </w:footnote>
  <w:footnote w:type="continuationSeparator" w:id="0">
    <w:p w14:paraId="76C91FF5" w14:textId="77777777" w:rsidR="00EF27F5" w:rsidRDefault="00EF27F5" w:rsidP="004F7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1D"/>
    <w:rsid w:val="000107AD"/>
    <w:rsid w:val="00012685"/>
    <w:rsid w:val="00014911"/>
    <w:rsid w:val="00015B9D"/>
    <w:rsid w:val="000167F7"/>
    <w:rsid w:val="00020126"/>
    <w:rsid w:val="00023C58"/>
    <w:rsid w:val="00027BF4"/>
    <w:rsid w:val="000317DD"/>
    <w:rsid w:val="000327CA"/>
    <w:rsid w:val="00034E98"/>
    <w:rsid w:val="00035D02"/>
    <w:rsid w:val="00036D1E"/>
    <w:rsid w:val="00041C84"/>
    <w:rsid w:val="00046588"/>
    <w:rsid w:val="00050289"/>
    <w:rsid w:val="00052871"/>
    <w:rsid w:val="0005478B"/>
    <w:rsid w:val="00057278"/>
    <w:rsid w:val="000630A6"/>
    <w:rsid w:val="00064E8E"/>
    <w:rsid w:val="000655EE"/>
    <w:rsid w:val="00074CF1"/>
    <w:rsid w:val="00075B9C"/>
    <w:rsid w:val="00076D5D"/>
    <w:rsid w:val="000806C7"/>
    <w:rsid w:val="00081ED7"/>
    <w:rsid w:val="000820BC"/>
    <w:rsid w:val="00082328"/>
    <w:rsid w:val="00090980"/>
    <w:rsid w:val="0009106F"/>
    <w:rsid w:val="00093869"/>
    <w:rsid w:val="00094BD3"/>
    <w:rsid w:val="000959B7"/>
    <w:rsid w:val="000A0180"/>
    <w:rsid w:val="000A7D95"/>
    <w:rsid w:val="000B268F"/>
    <w:rsid w:val="000B61D8"/>
    <w:rsid w:val="000B687E"/>
    <w:rsid w:val="000C0A2A"/>
    <w:rsid w:val="000D0320"/>
    <w:rsid w:val="000D0D7F"/>
    <w:rsid w:val="000D527F"/>
    <w:rsid w:val="000E2971"/>
    <w:rsid w:val="000E5D43"/>
    <w:rsid w:val="000E61CA"/>
    <w:rsid w:val="000E6A47"/>
    <w:rsid w:val="000F04A6"/>
    <w:rsid w:val="000F0A7D"/>
    <w:rsid w:val="000F216A"/>
    <w:rsid w:val="000F23EA"/>
    <w:rsid w:val="000F4F62"/>
    <w:rsid w:val="000F5D6F"/>
    <w:rsid w:val="000F7763"/>
    <w:rsid w:val="00103D09"/>
    <w:rsid w:val="00104F57"/>
    <w:rsid w:val="0010521D"/>
    <w:rsid w:val="00114B18"/>
    <w:rsid w:val="00116F81"/>
    <w:rsid w:val="001173A0"/>
    <w:rsid w:val="00125D6C"/>
    <w:rsid w:val="00126F96"/>
    <w:rsid w:val="00127531"/>
    <w:rsid w:val="00130F93"/>
    <w:rsid w:val="0013414C"/>
    <w:rsid w:val="0013448C"/>
    <w:rsid w:val="00135EE2"/>
    <w:rsid w:val="0013776D"/>
    <w:rsid w:val="00140F7B"/>
    <w:rsid w:val="00153551"/>
    <w:rsid w:val="001548CF"/>
    <w:rsid w:val="001578F3"/>
    <w:rsid w:val="00162A1C"/>
    <w:rsid w:val="00163EAB"/>
    <w:rsid w:val="00167598"/>
    <w:rsid w:val="0017118A"/>
    <w:rsid w:val="0017238C"/>
    <w:rsid w:val="0017738E"/>
    <w:rsid w:val="001831E9"/>
    <w:rsid w:val="001902C1"/>
    <w:rsid w:val="001932D7"/>
    <w:rsid w:val="00193F5C"/>
    <w:rsid w:val="0019514E"/>
    <w:rsid w:val="00195FAA"/>
    <w:rsid w:val="001A4231"/>
    <w:rsid w:val="001A47AF"/>
    <w:rsid w:val="001B0669"/>
    <w:rsid w:val="001B1718"/>
    <w:rsid w:val="001C09BC"/>
    <w:rsid w:val="001C29B9"/>
    <w:rsid w:val="001C4364"/>
    <w:rsid w:val="001C737B"/>
    <w:rsid w:val="001C73C9"/>
    <w:rsid w:val="001E09FA"/>
    <w:rsid w:val="001E2E37"/>
    <w:rsid w:val="001E41FF"/>
    <w:rsid w:val="001E54D2"/>
    <w:rsid w:val="001F182B"/>
    <w:rsid w:val="001F27F3"/>
    <w:rsid w:val="001F326B"/>
    <w:rsid w:val="002006C3"/>
    <w:rsid w:val="002135BA"/>
    <w:rsid w:val="00215B38"/>
    <w:rsid w:val="00221EF9"/>
    <w:rsid w:val="002307E1"/>
    <w:rsid w:val="002344C4"/>
    <w:rsid w:val="002401FC"/>
    <w:rsid w:val="00241860"/>
    <w:rsid w:val="00243937"/>
    <w:rsid w:val="00243947"/>
    <w:rsid w:val="00245C54"/>
    <w:rsid w:val="00246EA4"/>
    <w:rsid w:val="002470D3"/>
    <w:rsid w:val="00247FB4"/>
    <w:rsid w:val="002546AF"/>
    <w:rsid w:val="002548CE"/>
    <w:rsid w:val="00256873"/>
    <w:rsid w:val="002630C1"/>
    <w:rsid w:val="00266FFF"/>
    <w:rsid w:val="002700BE"/>
    <w:rsid w:val="00274072"/>
    <w:rsid w:val="00274BCB"/>
    <w:rsid w:val="00275EA8"/>
    <w:rsid w:val="00277A97"/>
    <w:rsid w:val="002806EE"/>
    <w:rsid w:val="002A3436"/>
    <w:rsid w:val="002A3B03"/>
    <w:rsid w:val="002A43DD"/>
    <w:rsid w:val="002A7B4E"/>
    <w:rsid w:val="002B0821"/>
    <w:rsid w:val="002B30D0"/>
    <w:rsid w:val="002B3C23"/>
    <w:rsid w:val="002B3F48"/>
    <w:rsid w:val="002B5F77"/>
    <w:rsid w:val="002C1067"/>
    <w:rsid w:val="002C217D"/>
    <w:rsid w:val="002C24FC"/>
    <w:rsid w:val="002C2BE1"/>
    <w:rsid w:val="002C2CC0"/>
    <w:rsid w:val="002C3E79"/>
    <w:rsid w:val="002C5B4C"/>
    <w:rsid w:val="002D42C4"/>
    <w:rsid w:val="002E48D4"/>
    <w:rsid w:val="002E6A8C"/>
    <w:rsid w:val="002F2B5F"/>
    <w:rsid w:val="002F3509"/>
    <w:rsid w:val="002F3B74"/>
    <w:rsid w:val="002F4655"/>
    <w:rsid w:val="00310072"/>
    <w:rsid w:val="003151FC"/>
    <w:rsid w:val="00322010"/>
    <w:rsid w:val="00324334"/>
    <w:rsid w:val="00330288"/>
    <w:rsid w:val="00332DAF"/>
    <w:rsid w:val="003433E8"/>
    <w:rsid w:val="00344C70"/>
    <w:rsid w:val="00345EAA"/>
    <w:rsid w:val="00346431"/>
    <w:rsid w:val="00350CB4"/>
    <w:rsid w:val="00352A73"/>
    <w:rsid w:val="003533D1"/>
    <w:rsid w:val="0035496B"/>
    <w:rsid w:val="00360854"/>
    <w:rsid w:val="00361D76"/>
    <w:rsid w:val="00363395"/>
    <w:rsid w:val="00365980"/>
    <w:rsid w:val="0036642E"/>
    <w:rsid w:val="00366629"/>
    <w:rsid w:val="00366BF4"/>
    <w:rsid w:val="003741DD"/>
    <w:rsid w:val="0037664E"/>
    <w:rsid w:val="00377B93"/>
    <w:rsid w:val="00392441"/>
    <w:rsid w:val="003A2C40"/>
    <w:rsid w:val="003A37DB"/>
    <w:rsid w:val="003A779A"/>
    <w:rsid w:val="003B0FE3"/>
    <w:rsid w:val="003B304A"/>
    <w:rsid w:val="003B60DA"/>
    <w:rsid w:val="003C1B65"/>
    <w:rsid w:val="003C529A"/>
    <w:rsid w:val="003C662A"/>
    <w:rsid w:val="003D0483"/>
    <w:rsid w:val="003D14B1"/>
    <w:rsid w:val="003D2B76"/>
    <w:rsid w:val="003D7021"/>
    <w:rsid w:val="003D7CBA"/>
    <w:rsid w:val="003E290A"/>
    <w:rsid w:val="003F1944"/>
    <w:rsid w:val="003F25FD"/>
    <w:rsid w:val="003F3232"/>
    <w:rsid w:val="003F44D5"/>
    <w:rsid w:val="003F4FE3"/>
    <w:rsid w:val="0040339B"/>
    <w:rsid w:val="00406668"/>
    <w:rsid w:val="0041310F"/>
    <w:rsid w:val="00413537"/>
    <w:rsid w:val="00413CAF"/>
    <w:rsid w:val="00420DFE"/>
    <w:rsid w:val="0042319E"/>
    <w:rsid w:val="004300DE"/>
    <w:rsid w:val="00430CFC"/>
    <w:rsid w:val="00431D29"/>
    <w:rsid w:val="00433233"/>
    <w:rsid w:val="00435C31"/>
    <w:rsid w:val="004420F5"/>
    <w:rsid w:val="00446E72"/>
    <w:rsid w:val="004606D5"/>
    <w:rsid w:val="00462761"/>
    <w:rsid w:val="00463DAA"/>
    <w:rsid w:val="004736D0"/>
    <w:rsid w:val="00475745"/>
    <w:rsid w:val="0047749C"/>
    <w:rsid w:val="00481212"/>
    <w:rsid w:val="00482D0B"/>
    <w:rsid w:val="00487CD7"/>
    <w:rsid w:val="00491E15"/>
    <w:rsid w:val="00493EF5"/>
    <w:rsid w:val="00495876"/>
    <w:rsid w:val="00495F4D"/>
    <w:rsid w:val="004A1501"/>
    <w:rsid w:val="004A606C"/>
    <w:rsid w:val="004B0990"/>
    <w:rsid w:val="004B42C0"/>
    <w:rsid w:val="004C07A5"/>
    <w:rsid w:val="004C1F85"/>
    <w:rsid w:val="004C395E"/>
    <w:rsid w:val="004C4567"/>
    <w:rsid w:val="004C54C0"/>
    <w:rsid w:val="004C6EE1"/>
    <w:rsid w:val="004E1D80"/>
    <w:rsid w:val="004E5181"/>
    <w:rsid w:val="004E69FA"/>
    <w:rsid w:val="004E7368"/>
    <w:rsid w:val="004F1221"/>
    <w:rsid w:val="004F7EC1"/>
    <w:rsid w:val="00502878"/>
    <w:rsid w:val="0050344B"/>
    <w:rsid w:val="005036D2"/>
    <w:rsid w:val="005040BA"/>
    <w:rsid w:val="00506707"/>
    <w:rsid w:val="005100C5"/>
    <w:rsid w:val="00511AA0"/>
    <w:rsid w:val="00511DDF"/>
    <w:rsid w:val="00512685"/>
    <w:rsid w:val="00523331"/>
    <w:rsid w:val="005237A3"/>
    <w:rsid w:val="005261DC"/>
    <w:rsid w:val="00527316"/>
    <w:rsid w:val="0053466C"/>
    <w:rsid w:val="005414DA"/>
    <w:rsid w:val="0054175C"/>
    <w:rsid w:val="005423CB"/>
    <w:rsid w:val="005430A7"/>
    <w:rsid w:val="005449D3"/>
    <w:rsid w:val="0054585E"/>
    <w:rsid w:val="0054697F"/>
    <w:rsid w:val="00550544"/>
    <w:rsid w:val="00552052"/>
    <w:rsid w:val="005520FA"/>
    <w:rsid w:val="00552A83"/>
    <w:rsid w:val="00553A7F"/>
    <w:rsid w:val="005554A2"/>
    <w:rsid w:val="00562CA7"/>
    <w:rsid w:val="00566EFC"/>
    <w:rsid w:val="005752B1"/>
    <w:rsid w:val="0057738E"/>
    <w:rsid w:val="0058037A"/>
    <w:rsid w:val="005833B2"/>
    <w:rsid w:val="00586E15"/>
    <w:rsid w:val="00590B17"/>
    <w:rsid w:val="00592BCF"/>
    <w:rsid w:val="00596518"/>
    <w:rsid w:val="00596AC2"/>
    <w:rsid w:val="005A1B1D"/>
    <w:rsid w:val="005A1E7F"/>
    <w:rsid w:val="005A2568"/>
    <w:rsid w:val="005A2C4A"/>
    <w:rsid w:val="005A2E90"/>
    <w:rsid w:val="005A7007"/>
    <w:rsid w:val="005B0AAA"/>
    <w:rsid w:val="005B1B71"/>
    <w:rsid w:val="005B2AAD"/>
    <w:rsid w:val="005B3163"/>
    <w:rsid w:val="005B4610"/>
    <w:rsid w:val="005B5D84"/>
    <w:rsid w:val="005B7621"/>
    <w:rsid w:val="005B7936"/>
    <w:rsid w:val="005C5948"/>
    <w:rsid w:val="005C5FB3"/>
    <w:rsid w:val="005C6866"/>
    <w:rsid w:val="005D3BC1"/>
    <w:rsid w:val="005D6856"/>
    <w:rsid w:val="005E0002"/>
    <w:rsid w:val="005E4A7D"/>
    <w:rsid w:val="005E5F05"/>
    <w:rsid w:val="005E63F7"/>
    <w:rsid w:val="005F3E20"/>
    <w:rsid w:val="005F450E"/>
    <w:rsid w:val="005F59AA"/>
    <w:rsid w:val="0060025D"/>
    <w:rsid w:val="00600FC4"/>
    <w:rsid w:val="00603CF4"/>
    <w:rsid w:val="006126E8"/>
    <w:rsid w:val="00612B55"/>
    <w:rsid w:val="0061369A"/>
    <w:rsid w:val="00615DD1"/>
    <w:rsid w:val="006239C8"/>
    <w:rsid w:val="00624026"/>
    <w:rsid w:val="006253B0"/>
    <w:rsid w:val="00630FE3"/>
    <w:rsid w:val="00633DC4"/>
    <w:rsid w:val="00635702"/>
    <w:rsid w:val="00641881"/>
    <w:rsid w:val="00646872"/>
    <w:rsid w:val="00660C22"/>
    <w:rsid w:val="00663450"/>
    <w:rsid w:val="0066486D"/>
    <w:rsid w:val="00673404"/>
    <w:rsid w:val="00673F73"/>
    <w:rsid w:val="00675313"/>
    <w:rsid w:val="00675D96"/>
    <w:rsid w:val="00696D54"/>
    <w:rsid w:val="006A0641"/>
    <w:rsid w:val="006A1C69"/>
    <w:rsid w:val="006A2BED"/>
    <w:rsid w:val="006B352E"/>
    <w:rsid w:val="006C1DB6"/>
    <w:rsid w:val="006C46D6"/>
    <w:rsid w:val="006C4B37"/>
    <w:rsid w:val="006C5FE6"/>
    <w:rsid w:val="006D0142"/>
    <w:rsid w:val="006D0768"/>
    <w:rsid w:val="006D1FDC"/>
    <w:rsid w:val="006D40A4"/>
    <w:rsid w:val="006E0780"/>
    <w:rsid w:val="006E4FC7"/>
    <w:rsid w:val="006E6B40"/>
    <w:rsid w:val="006F620E"/>
    <w:rsid w:val="006F6291"/>
    <w:rsid w:val="0070067F"/>
    <w:rsid w:val="0070373E"/>
    <w:rsid w:val="00716A06"/>
    <w:rsid w:val="00717FAD"/>
    <w:rsid w:val="00722E0F"/>
    <w:rsid w:val="007300E1"/>
    <w:rsid w:val="007322A2"/>
    <w:rsid w:val="007351F3"/>
    <w:rsid w:val="00743E10"/>
    <w:rsid w:val="00744422"/>
    <w:rsid w:val="0075369E"/>
    <w:rsid w:val="00764159"/>
    <w:rsid w:val="00764813"/>
    <w:rsid w:val="00782E17"/>
    <w:rsid w:val="00783666"/>
    <w:rsid w:val="007858E8"/>
    <w:rsid w:val="007A3DF7"/>
    <w:rsid w:val="007A5677"/>
    <w:rsid w:val="007A5A36"/>
    <w:rsid w:val="007A608F"/>
    <w:rsid w:val="007A626E"/>
    <w:rsid w:val="007B055D"/>
    <w:rsid w:val="007B6FA6"/>
    <w:rsid w:val="007C34DF"/>
    <w:rsid w:val="007C4B23"/>
    <w:rsid w:val="007C4B36"/>
    <w:rsid w:val="007C52F8"/>
    <w:rsid w:val="007C6DBD"/>
    <w:rsid w:val="007D2AB1"/>
    <w:rsid w:val="007E3F43"/>
    <w:rsid w:val="007E42A8"/>
    <w:rsid w:val="007F1273"/>
    <w:rsid w:val="00802375"/>
    <w:rsid w:val="00802B20"/>
    <w:rsid w:val="008064FB"/>
    <w:rsid w:val="008071BF"/>
    <w:rsid w:val="00821CAD"/>
    <w:rsid w:val="008238E2"/>
    <w:rsid w:val="00830633"/>
    <w:rsid w:val="008403BB"/>
    <w:rsid w:val="008404F0"/>
    <w:rsid w:val="00840CB1"/>
    <w:rsid w:val="008423B8"/>
    <w:rsid w:val="0084350C"/>
    <w:rsid w:val="008474A2"/>
    <w:rsid w:val="00850449"/>
    <w:rsid w:val="00850483"/>
    <w:rsid w:val="00850635"/>
    <w:rsid w:val="00854A75"/>
    <w:rsid w:val="00857FAB"/>
    <w:rsid w:val="0086033A"/>
    <w:rsid w:val="00863B69"/>
    <w:rsid w:val="00863D8F"/>
    <w:rsid w:val="00864844"/>
    <w:rsid w:val="00865FB6"/>
    <w:rsid w:val="00866C4B"/>
    <w:rsid w:val="00871371"/>
    <w:rsid w:val="008717CE"/>
    <w:rsid w:val="0087290A"/>
    <w:rsid w:val="00877DF7"/>
    <w:rsid w:val="0088310B"/>
    <w:rsid w:val="008A4673"/>
    <w:rsid w:val="008A592F"/>
    <w:rsid w:val="008B05A0"/>
    <w:rsid w:val="008B135F"/>
    <w:rsid w:val="008B3337"/>
    <w:rsid w:val="008B7AAD"/>
    <w:rsid w:val="008D269A"/>
    <w:rsid w:val="008D26DF"/>
    <w:rsid w:val="008E0301"/>
    <w:rsid w:val="008E331D"/>
    <w:rsid w:val="008E35AA"/>
    <w:rsid w:val="008E3B54"/>
    <w:rsid w:val="009034B1"/>
    <w:rsid w:val="009068E4"/>
    <w:rsid w:val="00907B99"/>
    <w:rsid w:val="009105A0"/>
    <w:rsid w:val="0091526A"/>
    <w:rsid w:val="00916704"/>
    <w:rsid w:val="0092258C"/>
    <w:rsid w:val="00924B16"/>
    <w:rsid w:val="00931048"/>
    <w:rsid w:val="009441EA"/>
    <w:rsid w:val="00944225"/>
    <w:rsid w:val="009458AF"/>
    <w:rsid w:val="00950701"/>
    <w:rsid w:val="009516AE"/>
    <w:rsid w:val="00953028"/>
    <w:rsid w:val="009549C6"/>
    <w:rsid w:val="00956718"/>
    <w:rsid w:val="00956948"/>
    <w:rsid w:val="00960586"/>
    <w:rsid w:val="00961AB5"/>
    <w:rsid w:val="00962048"/>
    <w:rsid w:val="00962321"/>
    <w:rsid w:val="0097173B"/>
    <w:rsid w:val="00971EE4"/>
    <w:rsid w:val="00973843"/>
    <w:rsid w:val="00977624"/>
    <w:rsid w:val="00984897"/>
    <w:rsid w:val="00993603"/>
    <w:rsid w:val="0099684A"/>
    <w:rsid w:val="009A0C6B"/>
    <w:rsid w:val="009A234F"/>
    <w:rsid w:val="009A6CE7"/>
    <w:rsid w:val="009A75CD"/>
    <w:rsid w:val="009B0063"/>
    <w:rsid w:val="009B04C1"/>
    <w:rsid w:val="009B3CF7"/>
    <w:rsid w:val="009B6EC0"/>
    <w:rsid w:val="009B7350"/>
    <w:rsid w:val="009C01EB"/>
    <w:rsid w:val="009C15A5"/>
    <w:rsid w:val="009C19EF"/>
    <w:rsid w:val="009C2C2F"/>
    <w:rsid w:val="009C56D2"/>
    <w:rsid w:val="009D1A51"/>
    <w:rsid w:val="009D4903"/>
    <w:rsid w:val="009E2951"/>
    <w:rsid w:val="009E3336"/>
    <w:rsid w:val="009E6681"/>
    <w:rsid w:val="009F01AD"/>
    <w:rsid w:val="009F0317"/>
    <w:rsid w:val="009F111C"/>
    <w:rsid w:val="009F5DB5"/>
    <w:rsid w:val="009F727D"/>
    <w:rsid w:val="00A015BE"/>
    <w:rsid w:val="00A0294C"/>
    <w:rsid w:val="00A11FA1"/>
    <w:rsid w:val="00A13528"/>
    <w:rsid w:val="00A1611A"/>
    <w:rsid w:val="00A25F9B"/>
    <w:rsid w:val="00A2648E"/>
    <w:rsid w:val="00A26F5B"/>
    <w:rsid w:val="00A26FAE"/>
    <w:rsid w:val="00A30137"/>
    <w:rsid w:val="00A328B2"/>
    <w:rsid w:val="00A3652E"/>
    <w:rsid w:val="00A370E8"/>
    <w:rsid w:val="00A376D8"/>
    <w:rsid w:val="00A379B8"/>
    <w:rsid w:val="00A413FA"/>
    <w:rsid w:val="00A41C63"/>
    <w:rsid w:val="00A42BE9"/>
    <w:rsid w:val="00A7081D"/>
    <w:rsid w:val="00A71841"/>
    <w:rsid w:val="00A75A87"/>
    <w:rsid w:val="00A819EA"/>
    <w:rsid w:val="00A85CA6"/>
    <w:rsid w:val="00A876FE"/>
    <w:rsid w:val="00A87B92"/>
    <w:rsid w:val="00A90D00"/>
    <w:rsid w:val="00A90FF6"/>
    <w:rsid w:val="00A9106E"/>
    <w:rsid w:val="00A94429"/>
    <w:rsid w:val="00AA13A4"/>
    <w:rsid w:val="00AA5529"/>
    <w:rsid w:val="00AB1707"/>
    <w:rsid w:val="00AB4DEC"/>
    <w:rsid w:val="00AB7544"/>
    <w:rsid w:val="00AC03B4"/>
    <w:rsid w:val="00AC2180"/>
    <w:rsid w:val="00AC66E9"/>
    <w:rsid w:val="00AC7518"/>
    <w:rsid w:val="00AD07B7"/>
    <w:rsid w:val="00AD320C"/>
    <w:rsid w:val="00AD3F32"/>
    <w:rsid w:val="00AD6176"/>
    <w:rsid w:val="00AE5CA4"/>
    <w:rsid w:val="00AF2C8E"/>
    <w:rsid w:val="00AF4F59"/>
    <w:rsid w:val="00AF510E"/>
    <w:rsid w:val="00AF5172"/>
    <w:rsid w:val="00AF7C52"/>
    <w:rsid w:val="00B03FFD"/>
    <w:rsid w:val="00B056E4"/>
    <w:rsid w:val="00B06E8C"/>
    <w:rsid w:val="00B07974"/>
    <w:rsid w:val="00B10583"/>
    <w:rsid w:val="00B155E5"/>
    <w:rsid w:val="00B24548"/>
    <w:rsid w:val="00B254A1"/>
    <w:rsid w:val="00B30254"/>
    <w:rsid w:val="00B31E92"/>
    <w:rsid w:val="00B32FD4"/>
    <w:rsid w:val="00B342B8"/>
    <w:rsid w:val="00B35955"/>
    <w:rsid w:val="00B364FC"/>
    <w:rsid w:val="00B409B0"/>
    <w:rsid w:val="00B40FBA"/>
    <w:rsid w:val="00B42DEF"/>
    <w:rsid w:val="00B432E9"/>
    <w:rsid w:val="00B50A66"/>
    <w:rsid w:val="00B5337B"/>
    <w:rsid w:val="00B53FA3"/>
    <w:rsid w:val="00B54DA0"/>
    <w:rsid w:val="00B54FCB"/>
    <w:rsid w:val="00B5625A"/>
    <w:rsid w:val="00B61417"/>
    <w:rsid w:val="00B623B9"/>
    <w:rsid w:val="00B64312"/>
    <w:rsid w:val="00B65FF1"/>
    <w:rsid w:val="00B71250"/>
    <w:rsid w:val="00B718D5"/>
    <w:rsid w:val="00B724D0"/>
    <w:rsid w:val="00B732FE"/>
    <w:rsid w:val="00B806BC"/>
    <w:rsid w:val="00B864EC"/>
    <w:rsid w:val="00BA21A6"/>
    <w:rsid w:val="00BA2E00"/>
    <w:rsid w:val="00BA5EC5"/>
    <w:rsid w:val="00BB4A03"/>
    <w:rsid w:val="00BB769D"/>
    <w:rsid w:val="00BC2AB6"/>
    <w:rsid w:val="00BC542E"/>
    <w:rsid w:val="00BC7EAE"/>
    <w:rsid w:val="00BD36BD"/>
    <w:rsid w:val="00BD5D44"/>
    <w:rsid w:val="00BE14DE"/>
    <w:rsid w:val="00BE3523"/>
    <w:rsid w:val="00BF006B"/>
    <w:rsid w:val="00C033C9"/>
    <w:rsid w:val="00C0341A"/>
    <w:rsid w:val="00C0372F"/>
    <w:rsid w:val="00C0407C"/>
    <w:rsid w:val="00C06452"/>
    <w:rsid w:val="00C11089"/>
    <w:rsid w:val="00C1302F"/>
    <w:rsid w:val="00C24184"/>
    <w:rsid w:val="00C25251"/>
    <w:rsid w:val="00C31AD1"/>
    <w:rsid w:val="00C32C71"/>
    <w:rsid w:val="00C41DD4"/>
    <w:rsid w:val="00C43AA3"/>
    <w:rsid w:val="00C45829"/>
    <w:rsid w:val="00C65A0D"/>
    <w:rsid w:val="00C674E5"/>
    <w:rsid w:val="00C719F8"/>
    <w:rsid w:val="00C802B5"/>
    <w:rsid w:val="00C830E2"/>
    <w:rsid w:val="00C8621E"/>
    <w:rsid w:val="00C9299F"/>
    <w:rsid w:val="00C94CBA"/>
    <w:rsid w:val="00C97593"/>
    <w:rsid w:val="00CA44A2"/>
    <w:rsid w:val="00CB4F07"/>
    <w:rsid w:val="00CB640B"/>
    <w:rsid w:val="00CC12C6"/>
    <w:rsid w:val="00CC2BA5"/>
    <w:rsid w:val="00CC2C1C"/>
    <w:rsid w:val="00CD1883"/>
    <w:rsid w:val="00CD3363"/>
    <w:rsid w:val="00CD5B13"/>
    <w:rsid w:val="00CE0E3E"/>
    <w:rsid w:val="00CE6BA4"/>
    <w:rsid w:val="00CE7DC3"/>
    <w:rsid w:val="00CF16A4"/>
    <w:rsid w:val="00CF16C9"/>
    <w:rsid w:val="00CF4563"/>
    <w:rsid w:val="00CF6BA0"/>
    <w:rsid w:val="00CF7031"/>
    <w:rsid w:val="00D01BA8"/>
    <w:rsid w:val="00D12426"/>
    <w:rsid w:val="00D17790"/>
    <w:rsid w:val="00D205A4"/>
    <w:rsid w:val="00D22A29"/>
    <w:rsid w:val="00D31244"/>
    <w:rsid w:val="00D33EE0"/>
    <w:rsid w:val="00D4097C"/>
    <w:rsid w:val="00D5004B"/>
    <w:rsid w:val="00D51AF5"/>
    <w:rsid w:val="00D53B19"/>
    <w:rsid w:val="00D55CD2"/>
    <w:rsid w:val="00D5715E"/>
    <w:rsid w:val="00D600E6"/>
    <w:rsid w:val="00D601C3"/>
    <w:rsid w:val="00D6676F"/>
    <w:rsid w:val="00D67452"/>
    <w:rsid w:val="00D715FF"/>
    <w:rsid w:val="00D83090"/>
    <w:rsid w:val="00D834AE"/>
    <w:rsid w:val="00D86AB4"/>
    <w:rsid w:val="00D94728"/>
    <w:rsid w:val="00D96FB0"/>
    <w:rsid w:val="00D9799C"/>
    <w:rsid w:val="00DA1002"/>
    <w:rsid w:val="00DA2817"/>
    <w:rsid w:val="00DA2964"/>
    <w:rsid w:val="00DA45D9"/>
    <w:rsid w:val="00DB1EE8"/>
    <w:rsid w:val="00DB3017"/>
    <w:rsid w:val="00DB7180"/>
    <w:rsid w:val="00DC16B2"/>
    <w:rsid w:val="00DC18BA"/>
    <w:rsid w:val="00DC38D6"/>
    <w:rsid w:val="00DD4529"/>
    <w:rsid w:val="00DD634E"/>
    <w:rsid w:val="00DE00B3"/>
    <w:rsid w:val="00DE33DC"/>
    <w:rsid w:val="00DF15F9"/>
    <w:rsid w:val="00DF173C"/>
    <w:rsid w:val="00E0065F"/>
    <w:rsid w:val="00E1264E"/>
    <w:rsid w:val="00E208A3"/>
    <w:rsid w:val="00E23438"/>
    <w:rsid w:val="00E2759D"/>
    <w:rsid w:val="00E3080B"/>
    <w:rsid w:val="00E313BB"/>
    <w:rsid w:val="00E3167E"/>
    <w:rsid w:val="00E321C6"/>
    <w:rsid w:val="00E41F31"/>
    <w:rsid w:val="00E45897"/>
    <w:rsid w:val="00E47F32"/>
    <w:rsid w:val="00E52CC6"/>
    <w:rsid w:val="00E62695"/>
    <w:rsid w:val="00E63F9C"/>
    <w:rsid w:val="00E67144"/>
    <w:rsid w:val="00E74999"/>
    <w:rsid w:val="00E770AB"/>
    <w:rsid w:val="00E82490"/>
    <w:rsid w:val="00E82D39"/>
    <w:rsid w:val="00E8400D"/>
    <w:rsid w:val="00E84C5D"/>
    <w:rsid w:val="00E85D24"/>
    <w:rsid w:val="00E8688C"/>
    <w:rsid w:val="00E914DB"/>
    <w:rsid w:val="00E95552"/>
    <w:rsid w:val="00E9797B"/>
    <w:rsid w:val="00EA7610"/>
    <w:rsid w:val="00EC223F"/>
    <w:rsid w:val="00EC3EA9"/>
    <w:rsid w:val="00EC6A18"/>
    <w:rsid w:val="00EC76FD"/>
    <w:rsid w:val="00ED269D"/>
    <w:rsid w:val="00ED4383"/>
    <w:rsid w:val="00ED4391"/>
    <w:rsid w:val="00ED6ADC"/>
    <w:rsid w:val="00EE0508"/>
    <w:rsid w:val="00EE1B85"/>
    <w:rsid w:val="00EE2E8A"/>
    <w:rsid w:val="00EE391E"/>
    <w:rsid w:val="00EE4FE0"/>
    <w:rsid w:val="00EE7BC5"/>
    <w:rsid w:val="00EF12E8"/>
    <w:rsid w:val="00EF27F5"/>
    <w:rsid w:val="00EF3D6D"/>
    <w:rsid w:val="00EF4E56"/>
    <w:rsid w:val="00EF7915"/>
    <w:rsid w:val="00EF7C12"/>
    <w:rsid w:val="00F04588"/>
    <w:rsid w:val="00F052B1"/>
    <w:rsid w:val="00F102D7"/>
    <w:rsid w:val="00F24781"/>
    <w:rsid w:val="00F26F5C"/>
    <w:rsid w:val="00F27DF9"/>
    <w:rsid w:val="00F27F5F"/>
    <w:rsid w:val="00F34631"/>
    <w:rsid w:val="00F35253"/>
    <w:rsid w:val="00F35963"/>
    <w:rsid w:val="00F42684"/>
    <w:rsid w:val="00F45A23"/>
    <w:rsid w:val="00F53BCA"/>
    <w:rsid w:val="00F55CCE"/>
    <w:rsid w:val="00F647F3"/>
    <w:rsid w:val="00F648FA"/>
    <w:rsid w:val="00F67B94"/>
    <w:rsid w:val="00F71532"/>
    <w:rsid w:val="00F8056E"/>
    <w:rsid w:val="00F827CA"/>
    <w:rsid w:val="00F856CE"/>
    <w:rsid w:val="00F90873"/>
    <w:rsid w:val="00F94733"/>
    <w:rsid w:val="00F95616"/>
    <w:rsid w:val="00F95873"/>
    <w:rsid w:val="00F96294"/>
    <w:rsid w:val="00FA4FFD"/>
    <w:rsid w:val="00FA653C"/>
    <w:rsid w:val="00FB27B4"/>
    <w:rsid w:val="00FB74B5"/>
    <w:rsid w:val="00FB7522"/>
    <w:rsid w:val="00FB7C64"/>
    <w:rsid w:val="00FC7FD6"/>
    <w:rsid w:val="00FD7ED3"/>
    <w:rsid w:val="00FE2002"/>
    <w:rsid w:val="00FE2305"/>
    <w:rsid w:val="00FE24D0"/>
    <w:rsid w:val="00FE32C4"/>
    <w:rsid w:val="00FE6AEC"/>
    <w:rsid w:val="00FE6ED8"/>
    <w:rsid w:val="00FE78DE"/>
    <w:rsid w:val="00FF59E2"/>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2E9C1"/>
  <w14:defaultImageDpi w14:val="32767"/>
  <w15:chartTrackingRefBased/>
  <w15:docId w15:val="{00D8EBF6-59DA-0B4A-A7D5-5EE403D9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7EC1"/>
    <w:pPr>
      <w:tabs>
        <w:tab w:val="center" w:pos="4680"/>
        <w:tab w:val="right" w:pos="9360"/>
      </w:tabs>
    </w:pPr>
  </w:style>
  <w:style w:type="character" w:customStyle="1" w:styleId="FooterChar">
    <w:name w:val="Footer Char"/>
    <w:basedOn w:val="DefaultParagraphFont"/>
    <w:link w:val="Footer"/>
    <w:uiPriority w:val="99"/>
    <w:rsid w:val="004F7EC1"/>
    <w:rPr>
      <w:rFonts w:eastAsiaTheme="minorEastAsia"/>
      <w:b/>
    </w:rPr>
  </w:style>
  <w:style w:type="character" w:styleId="PageNumber">
    <w:name w:val="page number"/>
    <w:basedOn w:val="DefaultParagraphFont"/>
    <w:uiPriority w:val="99"/>
    <w:semiHidden/>
    <w:unhideWhenUsed/>
    <w:rsid w:val="004F7EC1"/>
  </w:style>
  <w:style w:type="character" w:styleId="Hyperlink">
    <w:name w:val="Hyperlink"/>
    <w:basedOn w:val="DefaultParagraphFont"/>
    <w:uiPriority w:val="99"/>
    <w:unhideWhenUsed/>
    <w:rsid w:val="008E35AA"/>
    <w:rPr>
      <w:color w:val="0563C1" w:themeColor="hyperlink"/>
      <w:u w:val="single"/>
    </w:rPr>
  </w:style>
  <w:style w:type="character" w:styleId="UnresolvedMention">
    <w:name w:val="Unresolved Mention"/>
    <w:basedOn w:val="DefaultParagraphFont"/>
    <w:uiPriority w:val="99"/>
    <w:rsid w:val="008E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wart.justman@umontana.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3</cp:revision>
  <dcterms:created xsi:type="dcterms:W3CDTF">2025-03-09T23:33:00Z</dcterms:created>
  <dcterms:modified xsi:type="dcterms:W3CDTF">2025-03-09T23:37:00Z</dcterms:modified>
</cp:coreProperties>
</file>